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2FFE" w14:textId="12581785" w:rsidR="00213A73" w:rsidRPr="002C3A14" w:rsidRDefault="00A95531" w:rsidP="00213A7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Submitting a New </w:t>
      </w:r>
      <w:r w:rsidR="00F2446D">
        <w:rPr>
          <w:b/>
          <w:bCs/>
          <w:sz w:val="28"/>
          <w:szCs w:val="28"/>
          <w:u w:val="single"/>
        </w:rPr>
        <w:t>Contingent Worker</w:t>
      </w:r>
      <w:r w:rsidR="00213A73" w:rsidRPr="002C3A1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- </w:t>
      </w:r>
      <w:r w:rsidR="00F272DD">
        <w:rPr>
          <w:b/>
          <w:bCs/>
          <w:sz w:val="28"/>
          <w:szCs w:val="28"/>
          <w:u w:val="single"/>
        </w:rPr>
        <w:t xml:space="preserve">Step by Step </w:t>
      </w:r>
      <w:r w:rsidR="00F2446D">
        <w:rPr>
          <w:b/>
          <w:bCs/>
          <w:sz w:val="28"/>
          <w:szCs w:val="28"/>
          <w:u w:val="single"/>
        </w:rPr>
        <w:t xml:space="preserve">Infobase </w:t>
      </w:r>
      <w:r w:rsidR="00213A73" w:rsidRPr="002C3A14">
        <w:rPr>
          <w:b/>
          <w:bCs/>
          <w:sz w:val="28"/>
          <w:szCs w:val="28"/>
          <w:u w:val="single"/>
        </w:rPr>
        <w:t>Guidance</w:t>
      </w:r>
    </w:p>
    <w:p w14:paraId="0E06E258" w14:textId="1205B6C8" w:rsidR="00213A73" w:rsidRDefault="00D02161" w:rsidP="00213A73">
      <w:pPr>
        <w:rPr>
          <w:b/>
          <w:bCs/>
          <w:sz w:val="24"/>
          <w:szCs w:val="24"/>
        </w:rPr>
      </w:pPr>
      <w:r w:rsidRPr="002C3A14">
        <w:rPr>
          <w:b/>
          <w:bCs/>
          <w:sz w:val="24"/>
          <w:szCs w:val="24"/>
        </w:rPr>
        <w:t xml:space="preserve">Submitting </w:t>
      </w:r>
      <w:r w:rsidR="002C3A14" w:rsidRPr="002C3A14">
        <w:rPr>
          <w:b/>
          <w:bCs/>
          <w:sz w:val="24"/>
          <w:szCs w:val="24"/>
        </w:rPr>
        <w:t>a New Contingent Worker Approval</w:t>
      </w:r>
    </w:p>
    <w:p w14:paraId="4CD1A523" w14:textId="5AF0B2A3" w:rsidR="00BF567C" w:rsidRPr="00BF567C" w:rsidRDefault="00BF567C" w:rsidP="00BF567C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t>Ensure the</w:t>
      </w:r>
      <w:r w:rsidRPr="00925694">
        <w:t xml:space="preserve"> </w:t>
      </w:r>
      <w:hyperlink r:id="rId5" w:history="1">
        <w:r w:rsidRPr="00925694">
          <w:rPr>
            <w:rStyle w:val="Hyperlink"/>
            <w:color w:val="auto"/>
          </w:rPr>
          <w:t>guidance</w:t>
        </w:r>
      </w:hyperlink>
      <w:r w:rsidRPr="003A05DA">
        <w:t xml:space="preserve"> </w:t>
      </w:r>
      <w:r>
        <w:t>is read before completing the form.</w:t>
      </w:r>
    </w:p>
    <w:p w14:paraId="7D135905" w14:textId="00DB7EBB" w:rsidR="00516F50" w:rsidRDefault="00BF567C" w:rsidP="00516F50">
      <w:pPr>
        <w:pStyle w:val="ListParagraph"/>
        <w:numPr>
          <w:ilvl w:val="0"/>
          <w:numId w:val="11"/>
        </w:numPr>
      </w:pPr>
      <w:r>
        <w:t>Ensure New Contingent Worker personal details (fields required set out in the guidance) are obtained in advance of completing this request form</w:t>
      </w:r>
      <w:r w:rsidR="00516F50">
        <w:t xml:space="preserve"> otherwise you will be unable to submit.</w:t>
      </w:r>
    </w:p>
    <w:p w14:paraId="7376CDBB" w14:textId="68FDA291" w:rsidR="00832A5C" w:rsidRPr="00832A5C" w:rsidRDefault="00832A5C" w:rsidP="00832A5C">
      <w:pPr>
        <w:rPr>
          <w:b/>
          <w:bCs/>
          <w:sz w:val="24"/>
          <w:szCs w:val="24"/>
        </w:rPr>
      </w:pPr>
      <w:r w:rsidRPr="00832A5C">
        <w:rPr>
          <w:b/>
          <w:bCs/>
          <w:sz w:val="24"/>
          <w:szCs w:val="24"/>
          <w:highlight w:val="yellow"/>
        </w:rPr>
        <w:t>Step 1</w:t>
      </w:r>
      <w:r w:rsidRPr="00832A5C">
        <w:rPr>
          <w:b/>
          <w:bCs/>
          <w:sz w:val="24"/>
          <w:szCs w:val="24"/>
        </w:rPr>
        <w:t xml:space="preserve"> – Infobase Actions</w:t>
      </w:r>
    </w:p>
    <w:p w14:paraId="514F6007" w14:textId="2730DFA4" w:rsidR="00B77EE1" w:rsidRPr="00C95C88" w:rsidRDefault="00B77EE1" w:rsidP="00B77EE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Log</w:t>
      </w:r>
      <w:r w:rsidRPr="00B77EE1">
        <w:rPr>
          <w:spacing w:val="-3"/>
        </w:rPr>
        <w:t xml:space="preserve"> </w:t>
      </w:r>
      <w:r>
        <w:t>into</w:t>
      </w:r>
      <w:r w:rsidRPr="00B77EE1">
        <w:rPr>
          <w:spacing w:val="-5"/>
        </w:rPr>
        <w:t xml:space="preserve"> </w:t>
      </w:r>
      <w:r>
        <w:t>Staff</w:t>
      </w:r>
      <w:r w:rsidRPr="00B77EE1">
        <w:rPr>
          <w:spacing w:val="-4"/>
        </w:rPr>
        <w:t xml:space="preserve"> </w:t>
      </w:r>
      <w:r>
        <w:t>Infobase</w:t>
      </w:r>
      <w:r w:rsidRPr="00B77EE1">
        <w:rPr>
          <w:spacing w:val="-6"/>
        </w:rPr>
        <w:t xml:space="preserve"> </w:t>
      </w:r>
      <w:r>
        <w:t>and</w:t>
      </w:r>
      <w:r w:rsidRPr="00B77EE1">
        <w:rPr>
          <w:spacing w:val="-1"/>
        </w:rPr>
        <w:t xml:space="preserve"> </w:t>
      </w:r>
      <w:r>
        <w:t>the</w:t>
      </w:r>
      <w:r w:rsidRPr="00B77EE1">
        <w:rPr>
          <w:spacing w:val="-6"/>
        </w:rPr>
        <w:t xml:space="preserve"> </w:t>
      </w:r>
      <w:r>
        <w:t>following</w:t>
      </w:r>
      <w:r w:rsidRPr="00B77EE1">
        <w:rPr>
          <w:spacing w:val="-3"/>
        </w:rPr>
        <w:t xml:space="preserve"> </w:t>
      </w:r>
      <w:r>
        <w:t>home</w:t>
      </w:r>
      <w:r w:rsidRPr="00B77EE1">
        <w:rPr>
          <w:spacing w:val="-6"/>
        </w:rPr>
        <w:t xml:space="preserve"> </w:t>
      </w:r>
      <w:r>
        <w:t>screen</w:t>
      </w:r>
      <w:r w:rsidRPr="00B77EE1">
        <w:rPr>
          <w:spacing w:val="-2"/>
        </w:rPr>
        <w:t xml:space="preserve"> </w:t>
      </w:r>
      <w:r>
        <w:t>will</w:t>
      </w:r>
      <w:r w:rsidRPr="00B77EE1">
        <w:rPr>
          <w:spacing w:val="-6"/>
        </w:rPr>
        <w:t xml:space="preserve"> </w:t>
      </w:r>
      <w:r w:rsidRPr="00B77EE1">
        <w:rPr>
          <w:spacing w:val="-2"/>
        </w:rPr>
        <w:t>appear</w:t>
      </w:r>
      <w:r w:rsidR="00C95C88">
        <w:rPr>
          <w:spacing w:val="-2"/>
        </w:rPr>
        <w:t>:</w:t>
      </w:r>
    </w:p>
    <w:p w14:paraId="61F61DBA" w14:textId="55D8EEB2" w:rsidR="00C95C88" w:rsidRPr="00C95C88" w:rsidRDefault="00C95C88" w:rsidP="00C95C88">
      <w:pPr>
        <w:rPr>
          <w:sz w:val="24"/>
          <w:szCs w:val="24"/>
        </w:rPr>
      </w:pPr>
      <w:r w:rsidRPr="00C95C88">
        <w:rPr>
          <w:noProof/>
          <w:sz w:val="24"/>
          <w:szCs w:val="24"/>
        </w:rPr>
        <w:drawing>
          <wp:inline distT="0" distB="0" distL="0" distR="0" wp14:anchorId="7E4A01D2" wp14:editId="737CB31B">
            <wp:extent cx="5731510" cy="2355850"/>
            <wp:effectExtent l="0" t="0" r="0" b="0"/>
            <wp:docPr id="1992933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335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19564" w14:textId="076A20BB" w:rsidR="00A84AA8" w:rsidRDefault="00B77EE1" w:rsidP="00B77EE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through the following menu options</w:t>
      </w:r>
      <w:r w:rsidR="00BF567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5B295F3" w14:textId="2BD1767D" w:rsidR="00B77EE1" w:rsidRPr="00A84AA8" w:rsidRDefault="002C5B9A" w:rsidP="002F16E9">
      <w:pPr>
        <w:rPr>
          <w:sz w:val="24"/>
          <w:szCs w:val="24"/>
        </w:rPr>
      </w:pPr>
      <w:r w:rsidRPr="00A84AA8">
        <w:rPr>
          <w:b/>
          <w:bCs/>
          <w:sz w:val="24"/>
          <w:szCs w:val="24"/>
        </w:rPr>
        <w:t>LJMU Requests and Approvals&gt;HR&gt;Contingent Worker Approval</w:t>
      </w:r>
      <w:r w:rsidR="00B77EE1" w:rsidRPr="00A84AA8">
        <w:rPr>
          <w:b/>
          <w:bCs/>
          <w:sz w:val="24"/>
          <w:szCs w:val="24"/>
        </w:rPr>
        <w:t xml:space="preserve"> as shown below</w:t>
      </w:r>
      <w:r w:rsidR="002F16E9">
        <w:rPr>
          <w:b/>
          <w:bCs/>
          <w:sz w:val="24"/>
          <w:szCs w:val="24"/>
        </w:rPr>
        <w:t>:</w:t>
      </w:r>
    </w:p>
    <w:p w14:paraId="53441AA0" w14:textId="76DCB654" w:rsidR="00460F1D" w:rsidRPr="001C4368" w:rsidRDefault="00C95C88" w:rsidP="00BF567C">
      <w:pPr>
        <w:ind w:firstLine="360"/>
        <w:rPr>
          <w:b/>
          <w:bCs/>
          <w:sz w:val="24"/>
          <w:szCs w:val="24"/>
        </w:rPr>
      </w:pPr>
      <w:r w:rsidRPr="00C95C88">
        <w:rPr>
          <w:noProof/>
        </w:rPr>
        <w:drawing>
          <wp:inline distT="0" distB="0" distL="0" distR="0" wp14:anchorId="77AF330B" wp14:editId="17461693">
            <wp:extent cx="2540131" cy="787440"/>
            <wp:effectExtent l="0" t="0" r="0" b="0"/>
            <wp:docPr id="1183967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678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131" cy="7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3BCA0" w14:textId="299280F7" w:rsidR="00B77EE1" w:rsidRDefault="003A05DA" w:rsidP="00A84AA8">
      <w:pPr>
        <w:pStyle w:val="ListParagraph"/>
        <w:numPr>
          <w:ilvl w:val="0"/>
          <w:numId w:val="5"/>
        </w:numPr>
      </w:pPr>
      <w:r>
        <w:t>Takes you through to the Submit a New Contingent Worker Approval page, t</w:t>
      </w:r>
      <w:r w:rsidR="00B77EE1">
        <w:t>he</w:t>
      </w:r>
      <w:r w:rsidR="001C4368">
        <w:t xml:space="preserve">n click on the ‘Submit a New Contingent </w:t>
      </w:r>
      <w:r>
        <w:t>W</w:t>
      </w:r>
      <w:r w:rsidR="001C4368">
        <w:t>orker Approval’ button</w:t>
      </w:r>
      <w:r w:rsidR="00C95C88">
        <w:t xml:space="preserve"> in the centre of the screen</w:t>
      </w:r>
      <w:r>
        <w:t xml:space="preserve"> to start a new request:</w:t>
      </w:r>
    </w:p>
    <w:p w14:paraId="0398C22A" w14:textId="1D3F3E8D" w:rsidR="001C4368" w:rsidRDefault="003A05DA" w:rsidP="00213A73">
      <w:r w:rsidRPr="003A05DA">
        <w:rPr>
          <w:noProof/>
        </w:rPr>
        <w:drawing>
          <wp:inline distT="0" distB="0" distL="0" distR="0" wp14:anchorId="19642D1D" wp14:editId="0D90B613">
            <wp:extent cx="5788550" cy="2043430"/>
            <wp:effectExtent l="0" t="0" r="0" b="0"/>
            <wp:docPr id="682799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993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1322" cy="205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4EA2" w14:textId="76A8E927" w:rsidR="00A84AA8" w:rsidRDefault="001C4368" w:rsidP="00BF567C">
      <w:r>
        <w:t xml:space="preserve">This </w:t>
      </w:r>
      <w:r w:rsidR="00996921">
        <w:t xml:space="preserve">then opens a form for the </w:t>
      </w:r>
      <w:r w:rsidR="00460F1D" w:rsidRPr="00317F2A">
        <w:t>nominating employee</w:t>
      </w:r>
      <w:r w:rsidR="00460F1D">
        <w:t xml:space="preserve"> </w:t>
      </w:r>
      <w:r w:rsidR="00996921">
        <w:t>to complete</w:t>
      </w:r>
      <w:r w:rsidR="00A84AA8">
        <w:t>:</w:t>
      </w:r>
    </w:p>
    <w:p w14:paraId="5D2D0DA1" w14:textId="166027C8" w:rsidR="0028318A" w:rsidRDefault="00A84AA8" w:rsidP="00A84AA8">
      <w:pPr>
        <w:pStyle w:val="ListParagraph"/>
        <w:numPr>
          <w:ilvl w:val="0"/>
          <w:numId w:val="1"/>
        </w:numPr>
        <w:rPr>
          <w:rFonts w:cstheme="minorHAnsi"/>
        </w:rPr>
      </w:pPr>
      <w:r w:rsidRPr="00A84AA8">
        <w:rPr>
          <w:rFonts w:cstheme="minorHAnsi"/>
        </w:rPr>
        <w:t xml:space="preserve">All fields marked with an asterisk are </w:t>
      </w:r>
      <w:r w:rsidR="00D84A31">
        <w:rPr>
          <w:rFonts w:cstheme="minorHAnsi"/>
        </w:rPr>
        <w:t xml:space="preserve">mandatory </w:t>
      </w:r>
      <w:r w:rsidRPr="00A84AA8">
        <w:rPr>
          <w:rFonts w:cstheme="minorHAnsi"/>
        </w:rPr>
        <w:t xml:space="preserve">and you will not be able to submit </w:t>
      </w:r>
      <w:r w:rsidR="00BF567C">
        <w:rPr>
          <w:rFonts w:cstheme="minorHAnsi"/>
        </w:rPr>
        <w:t>this form</w:t>
      </w:r>
      <w:r w:rsidRPr="00A84AA8">
        <w:rPr>
          <w:rFonts w:cstheme="minorHAnsi"/>
        </w:rPr>
        <w:t xml:space="preserve"> for </w:t>
      </w:r>
      <w:r w:rsidR="00BF567C">
        <w:rPr>
          <w:rFonts w:cstheme="minorHAnsi"/>
        </w:rPr>
        <w:t>a</w:t>
      </w:r>
      <w:r w:rsidRPr="00A84AA8">
        <w:rPr>
          <w:rFonts w:cstheme="minorHAnsi"/>
        </w:rPr>
        <w:t>pproval without completing these fields.</w:t>
      </w:r>
    </w:p>
    <w:p w14:paraId="64EB206C" w14:textId="77777777" w:rsidR="0082257A" w:rsidRDefault="0082257A" w:rsidP="0082257A">
      <w:pPr>
        <w:pStyle w:val="ListParagraph"/>
        <w:rPr>
          <w:rFonts w:cstheme="minorHAnsi"/>
        </w:rPr>
      </w:pPr>
    </w:p>
    <w:p w14:paraId="14238AAF" w14:textId="4FC18A5D" w:rsidR="00A84AA8" w:rsidRPr="00317F2A" w:rsidRDefault="00A84AA8" w:rsidP="00A84AA8">
      <w:pPr>
        <w:rPr>
          <w:b/>
          <w:bCs/>
          <w:u w:val="single"/>
        </w:rPr>
      </w:pPr>
      <w:r w:rsidRPr="00317F2A">
        <w:rPr>
          <w:b/>
          <w:bCs/>
          <w:u w:val="single"/>
        </w:rPr>
        <w:lastRenderedPageBreak/>
        <w:t>Line Manager section</w:t>
      </w:r>
    </w:p>
    <w:p w14:paraId="522694E2" w14:textId="63E31D58" w:rsidR="00A84AA8" w:rsidRPr="00A84AA8" w:rsidRDefault="00A84AA8" w:rsidP="00A84AA8">
      <w:pPr>
        <w:ind w:firstLine="360"/>
        <w:rPr>
          <w:b/>
          <w:bCs/>
        </w:rPr>
      </w:pPr>
      <w:r w:rsidRPr="00A84AA8">
        <w:rPr>
          <w:b/>
          <w:bCs/>
          <w:noProof/>
        </w:rPr>
        <w:drawing>
          <wp:inline distT="0" distB="0" distL="0" distR="0" wp14:anchorId="1AE9A7CA" wp14:editId="4020444E">
            <wp:extent cx="3474720" cy="739140"/>
            <wp:effectExtent l="0" t="0" r="0" b="0"/>
            <wp:docPr id="1839989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898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806" cy="74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3E8B" w14:textId="2187FDEB" w:rsidR="00F272DD" w:rsidRDefault="00002181" w:rsidP="00F272DD">
      <w:pPr>
        <w:pStyle w:val="ListParagraph"/>
        <w:numPr>
          <w:ilvl w:val="0"/>
          <w:numId w:val="1"/>
        </w:numPr>
      </w:pPr>
      <w:r>
        <w:t xml:space="preserve">The system will recognise the user completing the request and default in their details as the Line Manager. </w:t>
      </w:r>
    </w:p>
    <w:p w14:paraId="581D5238" w14:textId="3E6CC2CD" w:rsidR="00E0280A" w:rsidRDefault="000B3ECF" w:rsidP="00F272DD">
      <w:pPr>
        <w:pStyle w:val="ListParagraph"/>
        <w:numPr>
          <w:ilvl w:val="0"/>
          <w:numId w:val="1"/>
        </w:numPr>
      </w:pPr>
      <w:r>
        <w:t>Alternatively,</w:t>
      </w:r>
      <w:r w:rsidR="00F272DD">
        <w:t xml:space="preserve"> </w:t>
      </w:r>
      <w:r w:rsidR="004B3607">
        <w:t>you</w:t>
      </w:r>
      <w:r w:rsidR="00E0280A">
        <w:t xml:space="preserve"> </w:t>
      </w:r>
      <w:r w:rsidR="00F272DD">
        <w:t xml:space="preserve">can </w:t>
      </w:r>
      <w:r w:rsidR="002C5B9A">
        <w:t xml:space="preserve">select </w:t>
      </w:r>
      <w:r w:rsidR="00002181">
        <w:t xml:space="preserve">a </w:t>
      </w:r>
      <w:r w:rsidR="00F272DD">
        <w:t xml:space="preserve">different </w:t>
      </w:r>
      <w:r w:rsidR="00D02161">
        <w:t>line man</w:t>
      </w:r>
      <w:r w:rsidR="00F272DD">
        <w:t>a</w:t>
      </w:r>
      <w:r w:rsidR="00D02161">
        <w:t>ger</w:t>
      </w:r>
      <w:r w:rsidR="00A84AA8">
        <w:t xml:space="preserve"> using the search option in the </w:t>
      </w:r>
      <w:r w:rsidR="0028318A">
        <w:t>‘</w:t>
      </w:r>
      <w:r w:rsidR="00002181">
        <w:t>N</w:t>
      </w:r>
      <w:r w:rsidR="00A84AA8">
        <w:t>ame field</w:t>
      </w:r>
      <w:r w:rsidR="0028318A">
        <w:t>’</w:t>
      </w:r>
      <w:r w:rsidR="00A84AA8">
        <w:t>.</w:t>
      </w:r>
      <w:r w:rsidR="0084545E">
        <w:t xml:space="preserve"> Please ensure you select the correct person. </w:t>
      </w:r>
    </w:p>
    <w:p w14:paraId="512D4D53" w14:textId="088C8030" w:rsidR="00A84AA8" w:rsidRDefault="00A84AA8" w:rsidP="00F272DD">
      <w:pPr>
        <w:pStyle w:val="ListParagraph"/>
        <w:numPr>
          <w:ilvl w:val="0"/>
          <w:numId w:val="1"/>
        </w:numPr>
      </w:pPr>
      <w:r>
        <w:t>It automatically populates the Job Title and School/Service Team of the Line Manager.</w:t>
      </w:r>
    </w:p>
    <w:p w14:paraId="5673F248" w14:textId="7C0996E8" w:rsidR="00A84AA8" w:rsidRPr="00317F2A" w:rsidRDefault="006734E2" w:rsidP="00A84AA8">
      <w:pPr>
        <w:rPr>
          <w:b/>
          <w:bCs/>
          <w:u w:val="single"/>
        </w:rPr>
      </w:pPr>
      <w:r w:rsidRPr="00317F2A">
        <w:rPr>
          <w:b/>
          <w:bCs/>
          <w:u w:val="single"/>
        </w:rPr>
        <w:t>Position section</w:t>
      </w:r>
    </w:p>
    <w:p w14:paraId="74211D6E" w14:textId="2434F1B4" w:rsidR="006734E2" w:rsidRDefault="006734E2" w:rsidP="006734E2">
      <w:pPr>
        <w:ind w:firstLine="360"/>
      </w:pPr>
      <w:r w:rsidRPr="006734E2">
        <w:rPr>
          <w:noProof/>
        </w:rPr>
        <w:drawing>
          <wp:inline distT="0" distB="0" distL="0" distR="0" wp14:anchorId="1E294170" wp14:editId="67368D45">
            <wp:extent cx="4163438" cy="914400"/>
            <wp:effectExtent l="0" t="0" r="0" b="0"/>
            <wp:docPr id="2034781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816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7569" cy="91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3C6E6" w14:textId="2F35B2B7" w:rsidR="006734E2" w:rsidRDefault="0028318A" w:rsidP="00460F1D">
      <w:pPr>
        <w:pStyle w:val="ListParagraph"/>
        <w:numPr>
          <w:ilvl w:val="0"/>
          <w:numId w:val="7"/>
        </w:numPr>
      </w:pPr>
      <w:r>
        <w:t>State which team you require this new contingent</w:t>
      </w:r>
      <w:r w:rsidR="006734E2">
        <w:t xml:space="preserve"> worker position to be created</w:t>
      </w:r>
      <w:r>
        <w:t>.</w:t>
      </w:r>
    </w:p>
    <w:p w14:paraId="69E6C462" w14:textId="7B754B0D" w:rsidR="004B3607" w:rsidRDefault="004B3607" w:rsidP="00460F1D">
      <w:pPr>
        <w:pStyle w:val="ListParagraph"/>
        <w:numPr>
          <w:ilvl w:val="0"/>
          <w:numId w:val="7"/>
        </w:numPr>
      </w:pPr>
      <w:r>
        <w:t xml:space="preserve">The ‘patron type’ is which category this </w:t>
      </w:r>
      <w:r w:rsidR="00002181">
        <w:t>worker</w:t>
      </w:r>
      <w:r>
        <w:t xml:space="preserve"> would fit under, </w:t>
      </w:r>
      <w:r w:rsidR="0028318A">
        <w:t xml:space="preserve">additional information </w:t>
      </w:r>
      <w:r w:rsidR="00002181">
        <w:t xml:space="preserve">can be found in our </w:t>
      </w:r>
      <w:hyperlink r:id="rId11" w:history="1">
        <w:r w:rsidR="0028318A" w:rsidRPr="00AC6BBC">
          <w:rPr>
            <w:rStyle w:val="Hyperlink"/>
          </w:rPr>
          <w:t>guidance</w:t>
        </w:r>
      </w:hyperlink>
      <w:r w:rsidR="00AC6BBC">
        <w:t xml:space="preserve"> pages</w:t>
      </w:r>
      <w:r w:rsidR="000B3ECF">
        <w:t>.</w:t>
      </w:r>
    </w:p>
    <w:p w14:paraId="60AB1FC1" w14:textId="1FEE28B9" w:rsidR="0028318A" w:rsidRDefault="00DE041C" w:rsidP="0028318A">
      <w:pPr>
        <w:ind w:firstLine="720"/>
      </w:pPr>
      <w:r w:rsidRPr="00DE041C">
        <w:rPr>
          <w:noProof/>
        </w:rPr>
        <w:drawing>
          <wp:inline distT="0" distB="0" distL="0" distR="0" wp14:anchorId="0A4F8E16" wp14:editId="07626CBC">
            <wp:extent cx="1288111" cy="1383030"/>
            <wp:effectExtent l="0" t="0" r="0" b="0"/>
            <wp:docPr id="1861857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5739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9241" cy="13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AEC40" w14:textId="6C3AA068" w:rsidR="00460F1D" w:rsidRPr="00460F1D" w:rsidRDefault="00460F1D" w:rsidP="00460F1D">
      <w:pPr>
        <w:pStyle w:val="ListParagraph"/>
        <w:numPr>
          <w:ilvl w:val="0"/>
          <w:numId w:val="8"/>
        </w:numPr>
        <w:rPr>
          <w:color w:val="FF0000"/>
        </w:rPr>
      </w:pPr>
      <w:r w:rsidRPr="00460F1D">
        <w:rPr>
          <w:b/>
          <w:bCs/>
          <w:color w:val="FF0000"/>
        </w:rPr>
        <w:t>Note:</w:t>
      </w:r>
      <w:r w:rsidRPr="00460F1D">
        <w:rPr>
          <w:color w:val="FF0000"/>
        </w:rPr>
        <w:t xml:space="preserve"> The Governor patron type can only be s</w:t>
      </w:r>
      <w:r w:rsidR="00B65EAC">
        <w:rPr>
          <w:color w:val="FF0000"/>
        </w:rPr>
        <w:t>ubmitted</w:t>
      </w:r>
      <w:r w:rsidRPr="00460F1D">
        <w:rPr>
          <w:color w:val="FF0000"/>
        </w:rPr>
        <w:t xml:space="preserve"> by </w:t>
      </w:r>
      <w:r w:rsidR="00B65EAC">
        <w:rPr>
          <w:color w:val="FF0000"/>
        </w:rPr>
        <w:t>Secretariat department.</w:t>
      </w:r>
    </w:p>
    <w:p w14:paraId="5671224E" w14:textId="53A9255B" w:rsidR="006734E2" w:rsidRDefault="00460F1D" w:rsidP="00460F1D">
      <w:pPr>
        <w:pStyle w:val="ListParagraph"/>
        <w:numPr>
          <w:ilvl w:val="0"/>
          <w:numId w:val="8"/>
        </w:numPr>
      </w:pPr>
      <w:r>
        <w:t>If</w:t>
      </w:r>
      <w:r w:rsidR="00DE041C">
        <w:t xml:space="preserve"> selecting Non Contracted then there is an additional field to complete that will pop down: </w:t>
      </w:r>
    </w:p>
    <w:p w14:paraId="027030FE" w14:textId="71234FD4" w:rsidR="0028318A" w:rsidRDefault="00DE041C" w:rsidP="00DA72CF">
      <w:pPr>
        <w:ind w:firstLine="720"/>
      </w:pPr>
      <w:r>
        <w:rPr>
          <w:noProof/>
        </w:rPr>
        <w:drawing>
          <wp:inline distT="0" distB="0" distL="0" distR="0" wp14:anchorId="1D0C4036" wp14:editId="682B6DF1">
            <wp:extent cx="1168841" cy="1438910"/>
            <wp:effectExtent l="0" t="0" r="0" b="0"/>
            <wp:docPr id="1797663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6382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4583" cy="145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11C6" w14:textId="00AC9F5E" w:rsidR="00DE041C" w:rsidRDefault="00460F1D" w:rsidP="00460F1D">
      <w:pPr>
        <w:pStyle w:val="ListParagraph"/>
        <w:numPr>
          <w:ilvl w:val="0"/>
          <w:numId w:val="10"/>
        </w:numPr>
      </w:pPr>
      <w:r>
        <w:t>S</w:t>
      </w:r>
      <w:r w:rsidR="00DE041C">
        <w:t>pecify the job type</w:t>
      </w:r>
      <w:r w:rsidR="002B1E1D">
        <w:t xml:space="preserve"> using drop down options:</w:t>
      </w:r>
    </w:p>
    <w:p w14:paraId="44108E3A" w14:textId="176240A2" w:rsidR="00DE041C" w:rsidRDefault="00DE041C" w:rsidP="00DA72CF">
      <w:pPr>
        <w:ind w:left="720"/>
      </w:pPr>
      <w:r>
        <w:rPr>
          <w:noProof/>
        </w:rPr>
        <w:drawing>
          <wp:inline distT="0" distB="0" distL="0" distR="0" wp14:anchorId="2F563742" wp14:editId="5E8CAC1D">
            <wp:extent cx="1240403" cy="1280160"/>
            <wp:effectExtent l="0" t="0" r="0" b="0"/>
            <wp:docPr id="629640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4022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1986" cy="12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8DAD" w14:textId="0467424F" w:rsidR="00205697" w:rsidRPr="00205697" w:rsidRDefault="00DE041C" w:rsidP="00205697">
      <w:pPr>
        <w:pStyle w:val="ListParagraph"/>
        <w:numPr>
          <w:ilvl w:val="0"/>
          <w:numId w:val="10"/>
        </w:numPr>
      </w:pPr>
      <w:r w:rsidRPr="00205697">
        <w:lastRenderedPageBreak/>
        <w:t xml:space="preserve">The </w:t>
      </w:r>
      <w:r w:rsidRPr="00205697">
        <w:rPr>
          <w:b/>
          <w:bCs/>
        </w:rPr>
        <w:t>start date</w:t>
      </w:r>
      <w:r w:rsidRPr="00205697">
        <w:t xml:space="preserve"> should be at least </w:t>
      </w:r>
      <w:r w:rsidR="002B1E1D" w:rsidRPr="00205697">
        <w:t xml:space="preserve">2 working days </w:t>
      </w:r>
      <w:r w:rsidRPr="00205697">
        <w:t xml:space="preserve">ahead to allow time for the request to </w:t>
      </w:r>
      <w:r w:rsidR="00002181">
        <w:t>progress through</w:t>
      </w:r>
      <w:r w:rsidRPr="00205697">
        <w:t xml:space="preserve"> the approval route</w:t>
      </w:r>
      <w:r w:rsidR="0028318A">
        <w:t xml:space="preserve">.  </w:t>
      </w:r>
      <w:r w:rsidR="002B1E1D" w:rsidRPr="00205697">
        <w:t xml:space="preserve">Human Resources will require a minimum of 2 working </w:t>
      </w:r>
      <w:proofErr w:type="spellStart"/>
      <w:r w:rsidR="002B1E1D" w:rsidRPr="00205697">
        <w:t>days notice</w:t>
      </w:r>
      <w:proofErr w:type="spellEnd"/>
      <w:r w:rsidR="002B1E1D" w:rsidRPr="00205697">
        <w:t xml:space="preserve"> to action the authorised request for IT access</w:t>
      </w:r>
      <w:r w:rsidR="0028318A">
        <w:t>.</w:t>
      </w:r>
    </w:p>
    <w:p w14:paraId="0B8EC1E6" w14:textId="7C89D0BC" w:rsidR="00832A5C" w:rsidRPr="007D4061" w:rsidRDefault="007D4061" w:rsidP="00832A5C">
      <w:pPr>
        <w:pStyle w:val="ListParagraph"/>
        <w:numPr>
          <w:ilvl w:val="0"/>
          <w:numId w:val="10"/>
        </w:numPr>
      </w:pPr>
      <w:r w:rsidRPr="007D4061">
        <w:rPr>
          <w:color w:val="FF0000"/>
        </w:rPr>
        <w:t xml:space="preserve">If </w:t>
      </w:r>
      <w:r w:rsidR="00D55D40">
        <w:rPr>
          <w:color w:val="FF0000"/>
        </w:rPr>
        <w:t xml:space="preserve">the contingent worker request is </w:t>
      </w:r>
      <w:r w:rsidRPr="007D4061">
        <w:rPr>
          <w:color w:val="FF0000"/>
        </w:rPr>
        <w:t xml:space="preserve">submitted </w:t>
      </w:r>
      <w:r w:rsidR="00D55D40">
        <w:rPr>
          <w:color w:val="FF0000"/>
        </w:rPr>
        <w:t xml:space="preserve">on </w:t>
      </w:r>
      <w:r w:rsidRPr="007D4061">
        <w:rPr>
          <w:color w:val="FF0000"/>
        </w:rPr>
        <w:t xml:space="preserve">the </w:t>
      </w:r>
      <w:r w:rsidR="00BF567C">
        <w:rPr>
          <w:color w:val="FF0000"/>
        </w:rPr>
        <w:t xml:space="preserve">same </w:t>
      </w:r>
      <w:r w:rsidRPr="007D4061">
        <w:rPr>
          <w:color w:val="FF0000"/>
        </w:rPr>
        <w:t xml:space="preserve">day </w:t>
      </w:r>
      <w:r w:rsidR="00BF567C">
        <w:rPr>
          <w:color w:val="FF0000"/>
        </w:rPr>
        <w:t xml:space="preserve">as </w:t>
      </w:r>
      <w:r w:rsidR="00DE4070">
        <w:rPr>
          <w:color w:val="FF0000"/>
        </w:rPr>
        <w:t xml:space="preserve">the </w:t>
      </w:r>
      <w:r w:rsidRPr="007D4061">
        <w:rPr>
          <w:color w:val="FF0000"/>
        </w:rPr>
        <w:t xml:space="preserve">start </w:t>
      </w:r>
      <w:r w:rsidR="0084545E">
        <w:rPr>
          <w:color w:val="FF0000"/>
        </w:rPr>
        <w:t>date,</w:t>
      </w:r>
      <w:r w:rsidR="0028318A">
        <w:rPr>
          <w:color w:val="FF0000"/>
        </w:rPr>
        <w:t xml:space="preserve"> </w:t>
      </w:r>
      <w:r w:rsidRPr="007D4061">
        <w:rPr>
          <w:color w:val="FF0000"/>
        </w:rPr>
        <w:t xml:space="preserve">then please be aware there is no guarantee </w:t>
      </w:r>
      <w:r w:rsidR="00BF567C">
        <w:rPr>
          <w:color w:val="FF0000"/>
        </w:rPr>
        <w:t>access wil</w:t>
      </w:r>
      <w:r w:rsidR="0028318A">
        <w:rPr>
          <w:color w:val="FF0000"/>
        </w:rPr>
        <w:t>l</w:t>
      </w:r>
      <w:r w:rsidR="00BF567C">
        <w:rPr>
          <w:color w:val="FF0000"/>
        </w:rPr>
        <w:t xml:space="preserve"> be available</w:t>
      </w:r>
      <w:r w:rsidRPr="007D4061">
        <w:rPr>
          <w:color w:val="FF0000"/>
        </w:rPr>
        <w:t xml:space="preserve"> due to </w:t>
      </w:r>
      <w:r w:rsidR="00D55D40">
        <w:rPr>
          <w:color w:val="FF0000"/>
        </w:rPr>
        <w:t xml:space="preserve">the requirement for </w:t>
      </w:r>
      <w:r w:rsidRPr="007D4061">
        <w:rPr>
          <w:color w:val="FF0000"/>
        </w:rPr>
        <w:t>approval</w:t>
      </w:r>
      <w:r w:rsidR="00BF567C">
        <w:rPr>
          <w:color w:val="FF0000"/>
        </w:rPr>
        <w:t>/</w:t>
      </w:r>
      <w:r w:rsidRPr="007D4061">
        <w:rPr>
          <w:color w:val="FF0000"/>
        </w:rPr>
        <w:t xml:space="preserve">HR </w:t>
      </w:r>
      <w:r w:rsidR="00BF567C">
        <w:rPr>
          <w:color w:val="FF0000"/>
        </w:rPr>
        <w:t>confirmations</w:t>
      </w:r>
      <w:r w:rsidRPr="007D4061">
        <w:rPr>
          <w:color w:val="FF0000"/>
        </w:rPr>
        <w:t xml:space="preserve">.  </w:t>
      </w:r>
      <w:r w:rsidR="002B1E1D" w:rsidRPr="007D4061">
        <w:rPr>
          <w:color w:val="FF0000"/>
        </w:rPr>
        <w:t>It also takes approximately 3 hours to create a new email address and account for the new contingent worker via all LJMU systems</w:t>
      </w:r>
      <w:r>
        <w:rPr>
          <w:color w:val="FF0000"/>
        </w:rPr>
        <w:t>.</w:t>
      </w:r>
    </w:p>
    <w:p w14:paraId="3FB89E8A" w14:textId="2EA714EC" w:rsidR="00883E83" w:rsidRPr="00883E83" w:rsidRDefault="00883E83" w:rsidP="000F61CF">
      <w:pPr>
        <w:pStyle w:val="ListParagraph"/>
        <w:numPr>
          <w:ilvl w:val="0"/>
          <w:numId w:val="10"/>
        </w:numPr>
      </w:pPr>
      <w:r w:rsidRPr="00883E83">
        <w:t xml:space="preserve">The </w:t>
      </w:r>
      <w:r w:rsidRPr="0028318A">
        <w:rPr>
          <w:b/>
          <w:bCs/>
        </w:rPr>
        <w:t>Reason for Request</w:t>
      </w:r>
      <w:r w:rsidRPr="00883E83">
        <w:t xml:space="preserve"> is mandatory for you to specify the exact nature of the role and why access is required</w:t>
      </w:r>
      <w:r w:rsidR="0028318A">
        <w:t>.</w:t>
      </w:r>
      <w:r w:rsidR="00DE4070">
        <w:t xml:space="preserve"> The approver will have access to this information, so please provide sufficient information in this section. </w:t>
      </w:r>
    </w:p>
    <w:p w14:paraId="12D0B3A6" w14:textId="6A287E5A" w:rsidR="00883E83" w:rsidRPr="00317F2A" w:rsidRDefault="00883E83" w:rsidP="002B1E1D">
      <w:pPr>
        <w:rPr>
          <w:b/>
          <w:bCs/>
          <w:u w:val="single"/>
        </w:rPr>
      </w:pPr>
      <w:r w:rsidRPr="00317F2A">
        <w:rPr>
          <w:b/>
          <w:bCs/>
          <w:u w:val="single"/>
        </w:rPr>
        <w:t>Contingent Worker Details section</w:t>
      </w:r>
    </w:p>
    <w:p w14:paraId="19F44C5D" w14:textId="6C9F09DD" w:rsidR="00883E83" w:rsidRPr="00883E83" w:rsidRDefault="00883E83" w:rsidP="002B1E1D">
      <w:r>
        <w:t xml:space="preserve">Enter all personal details </w:t>
      </w:r>
      <w:r w:rsidR="00CB3D10">
        <w:t xml:space="preserve">including contact details </w:t>
      </w:r>
      <w:r>
        <w:t xml:space="preserve">for </w:t>
      </w:r>
      <w:r w:rsidR="00DE4070">
        <w:t xml:space="preserve">the </w:t>
      </w:r>
      <w:r w:rsidR="00CB3D10">
        <w:t xml:space="preserve">new contingent worker </w:t>
      </w:r>
      <w:r>
        <w:t xml:space="preserve">(fields required are </w:t>
      </w:r>
      <w:r w:rsidR="0084545E">
        <w:t xml:space="preserve">detailed in </w:t>
      </w:r>
      <w:r>
        <w:t>the</w:t>
      </w:r>
      <w:r w:rsidR="00354AF0">
        <w:t xml:space="preserve"> </w:t>
      </w:r>
      <w:hyperlink r:id="rId15" w:history="1">
        <w:hyperlink r:id="rId16" w:history="1">
          <w:r w:rsidRPr="00B5112A">
            <w:rPr>
              <w:rStyle w:val="Hyperlink"/>
            </w:rPr>
            <w:t>guidance</w:t>
          </w:r>
        </w:hyperlink>
      </w:hyperlink>
      <w:r>
        <w:t xml:space="preserve"> for you to copy in</w:t>
      </w:r>
      <w:r w:rsidR="00DE4070">
        <w:t>to</w:t>
      </w:r>
      <w:r>
        <w:t xml:space="preserve"> an email </w:t>
      </w:r>
      <w:r w:rsidR="00DE4070">
        <w:t xml:space="preserve">to request from </w:t>
      </w:r>
      <w:r>
        <w:t xml:space="preserve">the new contingent worker) </w:t>
      </w:r>
    </w:p>
    <w:p w14:paraId="028F01B0" w14:textId="3B910B73" w:rsidR="00883E83" w:rsidRDefault="00883E83" w:rsidP="002B1E1D">
      <w:pPr>
        <w:rPr>
          <w:color w:val="FF0000"/>
        </w:rPr>
      </w:pPr>
      <w:r>
        <w:rPr>
          <w:noProof/>
        </w:rPr>
        <w:drawing>
          <wp:inline distT="0" distB="0" distL="0" distR="0" wp14:anchorId="46710D6C" wp14:editId="661A4E30">
            <wp:extent cx="5414838" cy="2146300"/>
            <wp:effectExtent l="0" t="0" r="0" b="0"/>
            <wp:docPr id="165948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8170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5256" cy="216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47B66" w14:textId="77777777" w:rsidR="00883E83" w:rsidRDefault="00883E83" w:rsidP="002B1E1D">
      <w:pPr>
        <w:rPr>
          <w:color w:val="FF0000"/>
        </w:rPr>
      </w:pPr>
    </w:p>
    <w:p w14:paraId="6FABAEBA" w14:textId="572727E3" w:rsidR="0028318A" w:rsidRDefault="00883E83" w:rsidP="00317F2A">
      <w:pPr>
        <w:ind w:firstLine="360"/>
        <w:rPr>
          <w:color w:val="FF0000"/>
        </w:rPr>
      </w:pPr>
      <w:r>
        <w:rPr>
          <w:noProof/>
        </w:rPr>
        <w:drawing>
          <wp:inline distT="0" distB="0" distL="0" distR="0" wp14:anchorId="2A2C0E00" wp14:editId="74FB6726">
            <wp:extent cx="4349363" cy="1860550"/>
            <wp:effectExtent l="0" t="0" r="0" b="0"/>
            <wp:docPr id="1424373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7318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2293" cy="18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CB25B" w14:textId="77777777" w:rsidR="00DA72CF" w:rsidRDefault="00DA72CF" w:rsidP="009B1919">
      <w:pPr>
        <w:rPr>
          <w:b/>
          <w:bCs/>
          <w:u w:val="single"/>
        </w:rPr>
      </w:pPr>
    </w:p>
    <w:p w14:paraId="164C31E9" w14:textId="1BC97866" w:rsidR="009B1919" w:rsidRPr="00DA72CF" w:rsidRDefault="00F76C52" w:rsidP="009B1919">
      <w:pPr>
        <w:rPr>
          <w:color w:val="FF0000"/>
        </w:rPr>
      </w:pPr>
      <w:r w:rsidRPr="00317F2A">
        <w:rPr>
          <w:b/>
          <w:bCs/>
          <w:u w:val="single"/>
        </w:rPr>
        <w:t>Right to Work section</w:t>
      </w:r>
      <w:r w:rsidRPr="00317F2A">
        <w:rPr>
          <w:u w:val="single"/>
        </w:rPr>
        <w:t xml:space="preserve"> </w:t>
      </w:r>
    </w:p>
    <w:p w14:paraId="49FD37A3" w14:textId="7AEEF90F" w:rsidR="00F76C52" w:rsidRDefault="0028318A" w:rsidP="009B1919">
      <w:r>
        <w:t xml:space="preserve">Please read the </w:t>
      </w:r>
      <w:r w:rsidR="0084545E">
        <w:t>‘</w:t>
      </w:r>
      <w:r>
        <w:t>Further details</w:t>
      </w:r>
      <w:r w:rsidR="0084545E">
        <w:t>’</w:t>
      </w:r>
      <w:r>
        <w:t xml:space="preserve"> link on the form if required regarding </w:t>
      </w:r>
      <w:r w:rsidR="00F76C52" w:rsidRPr="00F76C52">
        <w:t>documentation.</w:t>
      </w:r>
      <w:r w:rsidR="00832A5C">
        <w:t xml:space="preserve">  Alternatively</w:t>
      </w:r>
      <w:r w:rsidR="00CB3D10">
        <w:t>,</w:t>
      </w:r>
      <w:r w:rsidR="00832A5C">
        <w:t xml:space="preserve"> you can contact your HR Business Partner.</w:t>
      </w:r>
    </w:p>
    <w:p w14:paraId="4D73B427" w14:textId="66716AE9" w:rsidR="00F76C52" w:rsidRPr="0028318A" w:rsidRDefault="00F76C52" w:rsidP="00F76C52">
      <w:pPr>
        <w:rPr>
          <w:b/>
          <w:bCs/>
          <w:u w:val="single"/>
        </w:rPr>
      </w:pPr>
      <w:r w:rsidRPr="0028318A">
        <w:rPr>
          <w:b/>
          <w:bCs/>
          <w:u w:val="single"/>
        </w:rPr>
        <w:t>Notes to Approver</w:t>
      </w:r>
      <w:r w:rsidR="0028318A" w:rsidRPr="0028318A">
        <w:rPr>
          <w:b/>
          <w:bCs/>
          <w:u w:val="single"/>
        </w:rPr>
        <w:t xml:space="preserve"> section</w:t>
      </w:r>
    </w:p>
    <w:p w14:paraId="61050967" w14:textId="227F775F" w:rsidR="00F76C52" w:rsidRDefault="00F76C52" w:rsidP="00F76C52">
      <w:r>
        <w:t xml:space="preserve">This section is </w:t>
      </w:r>
      <w:r w:rsidR="00B86FF2">
        <w:t xml:space="preserve">to </w:t>
      </w:r>
      <w:r w:rsidR="00C37ABC">
        <w:t xml:space="preserve">advise the budget holder of any resources that are required for the contingent worker, you will still need to </w:t>
      </w:r>
      <w:r w:rsidR="00DE4070">
        <w:t>arrange</w:t>
      </w:r>
      <w:r w:rsidR="00C37ABC">
        <w:t xml:space="preserve"> the relevant resources once your request is approved. </w:t>
      </w:r>
    </w:p>
    <w:p w14:paraId="6F188C40" w14:textId="77777777" w:rsidR="00DA72CF" w:rsidRDefault="00DA72C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AED93B7" w14:textId="3F0CF4CF" w:rsidR="00F76C52" w:rsidRPr="00370FD5" w:rsidRDefault="0084545E" w:rsidP="00F76C52">
      <w:pPr>
        <w:rPr>
          <w:b/>
          <w:bCs/>
          <w:u w:val="single"/>
        </w:rPr>
      </w:pPr>
      <w:r w:rsidRPr="00370FD5">
        <w:rPr>
          <w:b/>
          <w:bCs/>
          <w:u w:val="single"/>
        </w:rPr>
        <w:lastRenderedPageBreak/>
        <w:t>Submitting the request</w:t>
      </w:r>
    </w:p>
    <w:p w14:paraId="3327008F" w14:textId="42304466" w:rsidR="00213A73" w:rsidRDefault="00E0280A" w:rsidP="00F272DD">
      <w:pPr>
        <w:pStyle w:val="ListParagraph"/>
        <w:numPr>
          <w:ilvl w:val="0"/>
          <w:numId w:val="1"/>
        </w:numPr>
      </w:pPr>
      <w:r>
        <w:t>A</w:t>
      </w:r>
      <w:r w:rsidR="00D02161">
        <w:t xml:space="preserve">gree </w:t>
      </w:r>
      <w:r w:rsidR="00883E83">
        <w:t xml:space="preserve">you </w:t>
      </w:r>
      <w:r w:rsidR="00D02161">
        <w:t xml:space="preserve">have read the guidance before </w:t>
      </w:r>
      <w:r w:rsidR="00DE4070">
        <w:t>clicking on ‘S</w:t>
      </w:r>
      <w:r w:rsidR="00D02161">
        <w:t>ubmit</w:t>
      </w:r>
      <w:r w:rsidR="00DE4070">
        <w:t>’</w:t>
      </w:r>
      <w:r w:rsidR="00883E83">
        <w:t xml:space="preserve"> and understand your responsibilities</w:t>
      </w:r>
      <w:r w:rsidR="0011136E">
        <w:t>.</w:t>
      </w:r>
    </w:p>
    <w:p w14:paraId="68B87F42" w14:textId="138D36DE" w:rsidR="00F76C52" w:rsidRDefault="00F76C52" w:rsidP="00F272DD">
      <w:pPr>
        <w:pStyle w:val="ListParagraph"/>
        <w:numPr>
          <w:ilvl w:val="0"/>
          <w:numId w:val="1"/>
        </w:numPr>
      </w:pPr>
      <w:r>
        <w:t>A</w:t>
      </w:r>
      <w:r w:rsidR="009B1919">
        <w:t>s</w:t>
      </w:r>
      <w:r>
        <w:t xml:space="preserve"> long as </w:t>
      </w:r>
      <w:r w:rsidR="00DE4070">
        <w:t xml:space="preserve">there are </w:t>
      </w:r>
      <w:r>
        <w:t>no data errors or a</w:t>
      </w:r>
      <w:r w:rsidR="00DE4070">
        <w:t xml:space="preserve">ny mandatory </w:t>
      </w:r>
      <w:r>
        <w:t>field</w:t>
      </w:r>
      <w:r w:rsidR="00DE4070">
        <w:t>s</w:t>
      </w:r>
      <w:r>
        <w:t xml:space="preserve"> missing then </w:t>
      </w:r>
      <w:r w:rsidR="00DE4070">
        <w:t>the request</w:t>
      </w:r>
      <w:r>
        <w:t xml:space="preserve"> will confirm it has been ‘submitted’</w:t>
      </w:r>
      <w:r w:rsidR="00CB3D10">
        <w:t xml:space="preserve"> and the approval process</w:t>
      </w:r>
      <w:r w:rsidR="00DE4070">
        <w:t xml:space="preserve"> started</w:t>
      </w:r>
      <w:r w:rsidR="00CB3D10">
        <w:t>.</w:t>
      </w:r>
    </w:p>
    <w:p w14:paraId="758F11A3" w14:textId="77777777" w:rsidR="00CB3D10" w:rsidRDefault="00CB3D10" w:rsidP="00CB3D10">
      <w:pPr>
        <w:pStyle w:val="ListParagraph"/>
        <w:widowControl w:val="0"/>
        <w:numPr>
          <w:ilvl w:val="0"/>
          <w:numId w:val="1"/>
        </w:numPr>
        <w:tabs>
          <w:tab w:val="left" w:pos="901"/>
        </w:tabs>
        <w:autoSpaceDE w:val="0"/>
        <w:autoSpaceDN w:val="0"/>
        <w:spacing w:after="0" w:line="240" w:lineRule="auto"/>
        <w:contextualSpacing w:val="0"/>
      </w:pPr>
      <w:r>
        <w:t>Once</w:t>
      </w:r>
      <w:r>
        <w:rPr>
          <w:spacing w:val="-7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amend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request.</w:t>
      </w:r>
    </w:p>
    <w:p w14:paraId="7A10E787" w14:textId="76D8DE32" w:rsidR="00CB3D10" w:rsidRPr="00CB3D10" w:rsidRDefault="00CB3D10" w:rsidP="00CB3D10">
      <w:pPr>
        <w:pStyle w:val="ListParagraph"/>
        <w:widowControl w:val="0"/>
        <w:numPr>
          <w:ilvl w:val="0"/>
          <w:numId w:val="1"/>
        </w:numPr>
        <w:tabs>
          <w:tab w:val="left" w:pos="901"/>
        </w:tabs>
        <w:autoSpaceDE w:val="0"/>
        <w:autoSpaceDN w:val="0"/>
        <w:spacing w:before="1" w:after="0"/>
        <w:ind w:right="963"/>
        <w:contextualSpacing w:val="0"/>
        <w:jc w:val="both"/>
        <w:rPr>
          <w:sz w:val="25"/>
        </w:rPr>
      </w:pPr>
      <w:r>
        <w:t>You can search for</w:t>
      </w:r>
      <w:r w:rsidRPr="00CB3D10">
        <w:rPr>
          <w:spacing w:val="-2"/>
        </w:rPr>
        <w:t xml:space="preserve"> </w:t>
      </w:r>
      <w:r>
        <w:t xml:space="preserve">the request at any time to review </w:t>
      </w:r>
      <w:r w:rsidR="00C37ABC">
        <w:t xml:space="preserve">its </w:t>
      </w:r>
      <w:r>
        <w:t>status</w:t>
      </w:r>
      <w:r w:rsidR="00C37ABC">
        <w:t>, please note</w:t>
      </w:r>
      <w:r>
        <w:t xml:space="preserve"> you can only search requests that you have created.</w:t>
      </w:r>
    </w:p>
    <w:p w14:paraId="3CC33979" w14:textId="77777777" w:rsidR="00CB3D10" w:rsidRPr="00CB3D10" w:rsidRDefault="00CB3D10" w:rsidP="00CB3D10">
      <w:pPr>
        <w:pStyle w:val="ListParagraph"/>
        <w:widowControl w:val="0"/>
        <w:tabs>
          <w:tab w:val="left" w:pos="901"/>
        </w:tabs>
        <w:autoSpaceDE w:val="0"/>
        <w:autoSpaceDN w:val="0"/>
        <w:spacing w:before="1" w:after="0"/>
        <w:ind w:right="963"/>
        <w:contextualSpacing w:val="0"/>
        <w:jc w:val="both"/>
        <w:rPr>
          <w:sz w:val="25"/>
        </w:rPr>
      </w:pPr>
    </w:p>
    <w:p w14:paraId="7CE40E15" w14:textId="70A3835B" w:rsidR="00213A73" w:rsidRPr="002C3A14" w:rsidRDefault="00213A73">
      <w:pPr>
        <w:rPr>
          <w:b/>
          <w:bCs/>
          <w:sz w:val="24"/>
          <w:szCs w:val="24"/>
        </w:rPr>
      </w:pPr>
      <w:r w:rsidRPr="002C3A14">
        <w:rPr>
          <w:b/>
          <w:bCs/>
          <w:sz w:val="24"/>
          <w:szCs w:val="24"/>
          <w:highlight w:val="yellow"/>
        </w:rPr>
        <w:t xml:space="preserve">Step </w:t>
      </w:r>
      <w:r w:rsidRPr="00832A5C">
        <w:rPr>
          <w:b/>
          <w:bCs/>
          <w:sz w:val="24"/>
          <w:szCs w:val="24"/>
          <w:highlight w:val="yellow"/>
        </w:rPr>
        <w:t>2</w:t>
      </w:r>
      <w:r w:rsidR="002C3A14" w:rsidRPr="00832A5C">
        <w:rPr>
          <w:b/>
          <w:bCs/>
          <w:sz w:val="24"/>
          <w:szCs w:val="24"/>
          <w:highlight w:val="yellow"/>
        </w:rPr>
        <w:t xml:space="preserve"> </w:t>
      </w:r>
      <w:r w:rsidR="002C3A14" w:rsidRPr="00832A5C">
        <w:rPr>
          <w:b/>
          <w:bCs/>
          <w:sz w:val="24"/>
          <w:szCs w:val="24"/>
        </w:rPr>
        <w:t>– Approval Process</w:t>
      </w:r>
    </w:p>
    <w:p w14:paraId="1361B1D9" w14:textId="7BEC6152" w:rsidR="00213A73" w:rsidRDefault="00213A73">
      <w:r>
        <w:t>Email/workflow notification</w:t>
      </w:r>
      <w:r w:rsidR="00E0280A">
        <w:t>s</w:t>
      </w:r>
      <w:r>
        <w:t xml:space="preserve"> get sent to the Approver</w:t>
      </w:r>
      <w:r w:rsidR="00D02161">
        <w:t>(s)</w:t>
      </w:r>
      <w:r w:rsidR="00E0280A">
        <w:t>.</w:t>
      </w:r>
    </w:p>
    <w:p w14:paraId="137FCA2D" w14:textId="5D87E3A9" w:rsidR="00D02161" w:rsidRDefault="00D02161">
      <w:r>
        <w:t xml:space="preserve">Approvers are Director of </w:t>
      </w:r>
      <w:r w:rsidR="002C5B9A">
        <w:t>School</w:t>
      </w:r>
      <w:r w:rsidR="00E0280A">
        <w:t>/S</w:t>
      </w:r>
      <w:r>
        <w:t xml:space="preserve">ervice and Heads of Operations </w:t>
      </w:r>
      <w:r w:rsidR="00516F50">
        <w:t>in Faculties</w:t>
      </w:r>
      <w:r>
        <w:t>.</w:t>
      </w:r>
    </w:p>
    <w:p w14:paraId="42CD7941" w14:textId="03ED44E7" w:rsidR="00516F50" w:rsidRDefault="00DE4070">
      <w:r>
        <w:t>The HR Team</w:t>
      </w:r>
      <w:r w:rsidR="002F16E9">
        <w:t xml:space="preserve"> then </w:t>
      </w:r>
      <w:r>
        <w:t>perform</w:t>
      </w:r>
      <w:r w:rsidR="002F16E9">
        <w:t xml:space="preserve"> a</w:t>
      </w:r>
      <w:r>
        <w:t xml:space="preserve"> final</w:t>
      </w:r>
      <w:r w:rsidR="002F16E9">
        <w:t xml:space="preserve"> data check before </w:t>
      </w:r>
      <w:r>
        <w:t>the contingent worker request</w:t>
      </w:r>
      <w:r w:rsidR="002F16E9">
        <w:t xml:space="preserve"> is </w:t>
      </w:r>
      <w:r>
        <w:t>loaded</w:t>
      </w:r>
      <w:r w:rsidR="002F16E9">
        <w:t xml:space="preserve"> </w:t>
      </w:r>
      <w:r>
        <w:t>in</w:t>
      </w:r>
      <w:r w:rsidR="002F16E9">
        <w:t xml:space="preserve">to </w:t>
      </w:r>
      <w:r>
        <w:t>Staff Infobase</w:t>
      </w:r>
      <w:r w:rsidR="002F16E9">
        <w:t xml:space="preserve">.  </w:t>
      </w:r>
    </w:p>
    <w:p w14:paraId="471C216F" w14:textId="7D22D039" w:rsidR="00CB3D10" w:rsidRDefault="00A24499">
      <w:pPr>
        <w:rPr>
          <w:color w:val="FF0000"/>
        </w:rPr>
      </w:pPr>
      <w:r w:rsidRPr="00AC6BBC">
        <w:rPr>
          <w:b/>
          <w:bCs/>
          <w:color w:val="FF0000"/>
        </w:rPr>
        <w:t>Important</w:t>
      </w:r>
      <w:r w:rsidR="00516F50" w:rsidRPr="00516F50">
        <w:rPr>
          <w:color w:val="FF0000"/>
        </w:rPr>
        <w:t xml:space="preserve">: </w:t>
      </w:r>
      <w:r w:rsidR="00516F50">
        <w:rPr>
          <w:color w:val="FF0000"/>
        </w:rPr>
        <w:t>After the HR step, t</w:t>
      </w:r>
      <w:r w:rsidR="002F16E9" w:rsidRPr="00516F50">
        <w:rPr>
          <w:color w:val="FF0000"/>
        </w:rPr>
        <w:t xml:space="preserve">he account creation can take up to 3 hours via the cloud to ensure access to LJMU systems.  </w:t>
      </w:r>
    </w:p>
    <w:p w14:paraId="25409690" w14:textId="0FAB0D14" w:rsidR="00CB3D10" w:rsidRPr="00DE4070" w:rsidRDefault="00DE4070" w:rsidP="00CB3D10">
      <w:pPr>
        <w:widowControl w:val="0"/>
        <w:tabs>
          <w:tab w:val="left" w:pos="901"/>
        </w:tabs>
        <w:autoSpaceDE w:val="0"/>
        <w:autoSpaceDN w:val="0"/>
        <w:spacing w:before="1" w:after="0"/>
        <w:ind w:right="963"/>
        <w:jc w:val="both"/>
      </w:pPr>
      <w:r w:rsidRPr="00DE4070">
        <w:t>Please note:</w:t>
      </w:r>
    </w:p>
    <w:p w14:paraId="68845F99" w14:textId="48C356DF" w:rsidR="006527E7" w:rsidRDefault="006527E7" w:rsidP="006527E7">
      <w:pPr>
        <w:pStyle w:val="ListParagraph"/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after="0"/>
        <w:ind w:left="900" w:right="962"/>
        <w:contextualSpacing w:val="0"/>
      </w:pP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Approver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 w:rsidR="00F46D56">
        <w:t xml:space="preserve"> leave</w:t>
      </w:r>
      <w:r>
        <w:t>,</w:t>
      </w:r>
      <w:r>
        <w:rPr>
          <w:spacing w:val="-5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Vacation</w:t>
      </w:r>
      <w:r>
        <w:rPr>
          <w:spacing w:val="-2"/>
        </w:rPr>
        <w:t xml:space="preserve"> </w:t>
      </w:r>
      <w:r>
        <w:t>rules</w:t>
      </w:r>
      <w:r w:rsidR="00F46D56">
        <w:t xml:space="preserve"> in Staff Infobase</w:t>
      </w:r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Approval process will flow </w:t>
      </w:r>
      <w:r w:rsidR="000B3ECF">
        <w:t>smoothly.</w:t>
      </w:r>
      <w:r>
        <w:t xml:space="preserve"> </w:t>
      </w:r>
    </w:p>
    <w:p w14:paraId="39545B95" w14:textId="77777777" w:rsidR="006527E7" w:rsidRDefault="006527E7" w:rsidP="006527E7">
      <w:pPr>
        <w:pStyle w:val="BodyText"/>
        <w:spacing w:before="9"/>
        <w:rPr>
          <w:sz w:val="23"/>
        </w:rPr>
      </w:pPr>
    </w:p>
    <w:p w14:paraId="744A254A" w14:textId="0AFF2AEF" w:rsidR="006527E7" w:rsidRDefault="006527E7" w:rsidP="006527E7">
      <w:pPr>
        <w:pStyle w:val="ListParagraph"/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after="0"/>
        <w:ind w:left="900" w:right="954"/>
        <w:contextualSpacing w:val="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Approver</w:t>
      </w:r>
      <w:r>
        <w:rPr>
          <w:spacing w:val="-6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Vacation</w:t>
      </w:r>
      <w:r>
        <w:rPr>
          <w:spacing w:val="-4"/>
        </w:rPr>
        <w:t xml:space="preserve"> </w:t>
      </w:r>
      <w:r>
        <w:t>rules,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in their</w:t>
      </w:r>
      <w:r>
        <w:rPr>
          <w:spacing w:val="-5"/>
        </w:rPr>
        <w:t xml:space="preserve"> </w:t>
      </w:r>
      <w:r>
        <w:t>notifications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 not automatically escalate after a defined period.</w:t>
      </w:r>
    </w:p>
    <w:p w14:paraId="5B8570A2" w14:textId="77777777" w:rsidR="006527E7" w:rsidRDefault="006527E7" w:rsidP="006527E7">
      <w:pPr>
        <w:pStyle w:val="BodyText"/>
        <w:spacing w:before="8"/>
        <w:rPr>
          <w:sz w:val="23"/>
        </w:rPr>
      </w:pPr>
    </w:p>
    <w:p w14:paraId="293ECE4B" w14:textId="77777777" w:rsidR="006527E7" w:rsidRDefault="006527E7" w:rsidP="006527E7">
      <w:pPr>
        <w:pStyle w:val="ListParagraph"/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after="0"/>
        <w:ind w:left="900" w:right="953"/>
        <w:contextualSpacing w:val="0"/>
      </w:pPr>
      <w:r>
        <w:t>The</w:t>
      </w:r>
      <w:r>
        <w:rPr>
          <w:spacing w:val="39"/>
        </w:rPr>
        <w:t xml:space="preserve"> </w:t>
      </w:r>
      <w:r>
        <w:t>Approver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set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vacation</w:t>
      </w:r>
      <w:r>
        <w:rPr>
          <w:spacing w:val="40"/>
        </w:rPr>
        <w:t xml:space="preserve"> </w:t>
      </w:r>
      <w:r>
        <w:t>rules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someone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appropriate authority to approve on their behalf.</w:t>
      </w:r>
    </w:p>
    <w:p w14:paraId="729D443F" w14:textId="77777777" w:rsidR="006527E7" w:rsidRDefault="006527E7" w:rsidP="006527E7">
      <w:pPr>
        <w:pStyle w:val="ListParagraph"/>
      </w:pPr>
    </w:p>
    <w:p w14:paraId="11AE9BD7" w14:textId="2FA993DC" w:rsidR="006527E7" w:rsidRDefault="006527E7" w:rsidP="006527E7">
      <w:pPr>
        <w:pStyle w:val="ListParagraph"/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84" w:after="0"/>
        <w:ind w:left="900" w:right="964"/>
        <w:contextualSpacing w:val="0"/>
      </w:pPr>
      <w:r>
        <w:t xml:space="preserve">The Approver will be notified </w:t>
      </w:r>
      <w:r w:rsidR="0084545E">
        <w:t xml:space="preserve">both </w:t>
      </w:r>
      <w:r>
        <w:t>by email and on their Worklist</w:t>
      </w:r>
      <w:r w:rsidR="0084545E">
        <w:t xml:space="preserve"> in Staff Infobase</w:t>
      </w:r>
      <w:r>
        <w:rPr>
          <w:spacing w:val="40"/>
        </w:rPr>
        <w:t xml:space="preserve"> </w:t>
      </w:r>
      <w:r>
        <w:t>that a contingent worker request requires approval.</w:t>
      </w:r>
    </w:p>
    <w:p w14:paraId="697C7826" w14:textId="77777777" w:rsidR="0036385B" w:rsidRPr="00516F50" w:rsidRDefault="0036385B">
      <w:pPr>
        <w:rPr>
          <w:color w:val="FF0000"/>
        </w:rPr>
      </w:pPr>
    </w:p>
    <w:p w14:paraId="4FA8932C" w14:textId="4C5C0A72" w:rsidR="00213A73" w:rsidRDefault="00213A73">
      <w:pPr>
        <w:rPr>
          <w:b/>
          <w:bCs/>
          <w:sz w:val="24"/>
          <w:szCs w:val="24"/>
        </w:rPr>
      </w:pPr>
      <w:bookmarkStart w:id="0" w:name="_Hlk180670613"/>
      <w:r w:rsidRPr="002C3A14">
        <w:rPr>
          <w:b/>
          <w:bCs/>
          <w:sz w:val="24"/>
          <w:szCs w:val="24"/>
          <w:highlight w:val="yellow"/>
        </w:rPr>
        <w:t>Step 3</w:t>
      </w:r>
      <w:r w:rsidR="002C3A14" w:rsidRPr="002C3A14">
        <w:rPr>
          <w:b/>
          <w:bCs/>
          <w:sz w:val="24"/>
          <w:szCs w:val="24"/>
        </w:rPr>
        <w:t xml:space="preserve"> – </w:t>
      </w:r>
      <w:r w:rsidR="002F16E9">
        <w:rPr>
          <w:b/>
          <w:bCs/>
          <w:sz w:val="24"/>
          <w:szCs w:val="24"/>
        </w:rPr>
        <w:t>Start day</w:t>
      </w:r>
      <w:r w:rsidR="00127F61">
        <w:rPr>
          <w:b/>
          <w:bCs/>
          <w:sz w:val="24"/>
          <w:szCs w:val="24"/>
        </w:rPr>
        <w:t xml:space="preserve"> (Day 1)</w:t>
      </w:r>
      <w:r w:rsidR="002F16E9">
        <w:rPr>
          <w:b/>
          <w:bCs/>
          <w:sz w:val="24"/>
          <w:szCs w:val="24"/>
        </w:rPr>
        <w:t xml:space="preserve"> of new contingent worker</w:t>
      </w:r>
    </w:p>
    <w:p w14:paraId="258E9876" w14:textId="702E7F61" w:rsidR="002F16E9" w:rsidRDefault="002F16E9">
      <w:pPr>
        <w:rPr>
          <w:sz w:val="24"/>
          <w:szCs w:val="24"/>
        </w:rPr>
      </w:pPr>
      <w:r w:rsidRPr="009B1919">
        <w:rPr>
          <w:sz w:val="24"/>
          <w:szCs w:val="24"/>
        </w:rPr>
        <w:t>The line manager identified on the form will receive a</w:t>
      </w:r>
      <w:r w:rsidR="0036385B">
        <w:rPr>
          <w:sz w:val="24"/>
          <w:szCs w:val="24"/>
        </w:rPr>
        <w:t>n automated</w:t>
      </w:r>
      <w:r w:rsidRPr="009B1919">
        <w:rPr>
          <w:sz w:val="24"/>
          <w:szCs w:val="24"/>
        </w:rPr>
        <w:t xml:space="preserve"> ‘welcome</w:t>
      </w:r>
      <w:r w:rsidR="009B1919" w:rsidRPr="009B1919">
        <w:rPr>
          <w:sz w:val="24"/>
          <w:szCs w:val="24"/>
        </w:rPr>
        <w:t xml:space="preserve"> email’ to give guidance </w:t>
      </w:r>
      <w:r w:rsidR="009B1919">
        <w:rPr>
          <w:sz w:val="24"/>
          <w:szCs w:val="24"/>
        </w:rPr>
        <w:t xml:space="preserve">and assist the new contingent worker regarding </w:t>
      </w:r>
      <w:r w:rsidR="0036385B">
        <w:rPr>
          <w:sz w:val="24"/>
          <w:szCs w:val="24"/>
        </w:rPr>
        <w:t xml:space="preserve">how to </w:t>
      </w:r>
      <w:r w:rsidR="009B1919">
        <w:rPr>
          <w:sz w:val="24"/>
          <w:szCs w:val="24"/>
        </w:rPr>
        <w:t>o</w:t>
      </w:r>
      <w:r w:rsidR="009B1919" w:rsidRPr="009B1919">
        <w:rPr>
          <w:sz w:val="24"/>
          <w:szCs w:val="24"/>
        </w:rPr>
        <w:t xml:space="preserve">btain an ID card </w:t>
      </w:r>
      <w:r w:rsidR="0036385B">
        <w:rPr>
          <w:sz w:val="24"/>
          <w:szCs w:val="24"/>
        </w:rPr>
        <w:t xml:space="preserve">(if required) </w:t>
      </w:r>
      <w:r w:rsidR="009B1919" w:rsidRPr="009B1919">
        <w:rPr>
          <w:sz w:val="24"/>
          <w:szCs w:val="24"/>
        </w:rPr>
        <w:t>and activating IT access.</w:t>
      </w:r>
      <w:bookmarkEnd w:id="0"/>
    </w:p>
    <w:p w14:paraId="31A574CD" w14:textId="20F4CF47" w:rsidR="0036385B" w:rsidRDefault="0036385B">
      <w:pPr>
        <w:rPr>
          <w:sz w:val="24"/>
          <w:szCs w:val="24"/>
        </w:rPr>
      </w:pPr>
      <w:r>
        <w:rPr>
          <w:sz w:val="24"/>
          <w:szCs w:val="24"/>
        </w:rPr>
        <w:t>Any queries relating to access on the start da</w:t>
      </w:r>
      <w:r w:rsidR="0084545E">
        <w:rPr>
          <w:sz w:val="24"/>
          <w:szCs w:val="24"/>
        </w:rPr>
        <w:t xml:space="preserve">te </w:t>
      </w:r>
      <w:r>
        <w:rPr>
          <w:sz w:val="24"/>
          <w:szCs w:val="24"/>
        </w:rPr>
        <w:t xml:space="preserve">should be directed to the </w:t>
      </w:r>
      <w:r w:rsidRPr="000A5273">
        <w:rPr>
          <w:rFonts w:cstheme="minorHAnsi"/>
          <w:b/>
          <w:bCs/>
        </w:rPr>
        <w:t xml:space="preserve">IT Helpdesk on </w:t>
      </w:r>
      <w:r>
        <w:rPr>
          <w:rFonts w:cstheme="minorHAnsi"/>
          <w:b/>
          <w:bCs/>
        </w:rPr>
        <w:t xml:space="preserve">0151 231 </w:t>
      </w:r>
      <w:r w:rsidRPr="000A5273">
        <w:rPr>
          <w:rFonts w:cstheme="minorHAnsi"/>
          <w:b/>
          <w:bCs/>
        </w:rPr>
        <w:t>5555</w:t>
      </w:r>
      <w:r>
        <w:rPr>
          <w:rFonts w:cstheme="minorHAnsi"/>
          <w:b/>
          <w:bCs/>
        </w:rPr>
        <w:t>.</w:t>
      </w:r>
    </w:p>
    <w:sectPr w:rsidR="0036385B" w:rsidSect="00460F1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4D8"/>
    <w:multiLevelType w:val="hybridMultilevel"/>
    <w:tmpl w:val="C88C2D90"/>
    <w:lvl w:ilvl="0" w:tplc="6EFC44C4">
      <w:numFmt w:val="bullet"/>
      <w:lvlText w:val=""/>
      <w:lvlJc w:val="left"/>
      <w:pPr>
        <w:ind w:left="7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66D7FE">
      <w:start w:val="1"/>
      <w:numFmt w:val="lowerRoman"/>
      <w:lvlText w:val="(%2)"/>
      <w:lvlJc w:val="left"/>
      <w:pPr>
        <w:ind w:left="1714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4662372">
      <w:numFmt w:val="bullet"/>
      <w:lvlText w:val="•"/>
      <w:lvlJc w:val="left"/>
      <w:pPr>
        <w:ind w:left="1707" w:hanging="720"/>
      </w:pPr>
      <w:rPr>
        <w:rFonts w:hint="default"/>
        <w:lang w:val="en-US" w:eastAsia="en-US" w:bidi="ar-SA"/>
      </w:rPr>
    </w:lvl>
    <w:lvl w:ilvl="3" w:tplc="1388A4D0">
      <w:numFmt w:val="bullet"/>
      <w:lvlText w:val="•"/>
      <w:lvlJc w:val="left"/>
      <w:pPr>
        <w:ind w:left="2795" w:hanging="720"/>
      </w:pPr>
      <w:rPr>
        <w:rFonts w:hint="default"/>
        <w:lang w:val="en-US" w:eastAsia="en-US" w:bidi="ar-SA"/>
      </w:rPr>
    </w:lvl>
    <w:lvl w:ilvl="4" w:tplc="4E86DED4">
      <w:numFmt w:val="bullet"/>
      <w:lvlText w:val="•"/>
      <w:lvlJc w:val="left"/>
      <w:pPr>
        <w:ind w:left="3883" w:hanging="720"/>
      </w:pPr>
      <w:rPr>
        <w:rFonts w:hint="default"/>
        <w:lang w:val="en-US" w:eastAsia="en-US" w:bidi="ar-SA"/>
      </w:rPr>
    </w:lvl>
    <w:lvl w:ilvl="5" w:tplc="F7226EF2">
      <w:numFmt w:val="bullet"/>
      <w:lvlText w:val="•"/>
      <w:lvlJc w:val="left"/>
      <w:pPr>
        <w:ind w:left="4971" w:hanging="720"/>
      </w:pPr>
      <w:rPr>
        <w:rFonts w:hint="default"/>
        <w:lang w:val="en-US" w:eastAsia="en-US" w:bidi="ar-SA"/>
      </w:rPr>
    </w:lvl>
    <w:lvl w:ilvl="6" w:tplc="CFAA33E4">
      <w:numFmt w:val="bullet"/>
      <w:lvlText w:val="•"/>
      <w:lvlJc w:val="left"/>
      <w:pPr>
        <w:ind w:left="6059" w:hanging="720"/>
      </w:pPr>
      <w:rPr>
        <w:rFonts w:hint="default"/>
        <w:lang w:val="en-US" w:eastAsia="en-US" w:bidi="ar-SA"/>
      </w:rPr>
    </w:lvl>
    <w:lvl w:ilvl="7" w:tplc="2F3802A8">
      <w:numFmt w:val="bullet"/>
      <w:lvlText w:val="•"/>
      <w:lvlJc w:val="left"/>
      <w:pPr>
        <w:ind w:left="7147" w:hanging="720"/>
      </w:pPr>
      <w:rPr>
        <w:rFonts w:hint="default"/>
        <w:lang w:val="en-US" w:eastAsia="en-US" w:bidi="ar-SA"/>
      </w:rPr>
    </w:lvl>
    <w:lvl w:ilvl="8" w:tplc="2F728FFE">
      <w:numFmt w:val="bullet"/>
      <w:lvlText w:val="•"/>
      <w:lvlJc w:val="left"/>
      <w:pPr>
        <w:ind w:left="823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C3768BB"/>
    <w:multiLevelType w:val="hybridMultilevel"/>
    <w:tmpl w:val="44747026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CCA0110"/>
    <w:multiLevelType w:val="hybridMultilevel"/>
    <w:tmpl w:val="87F425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2F42"/>
    <w:multiLevelType w:val="hybridMultilevel"/>
    <w:tmpl w:val="78526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72D8"/>
    <w:multiLevelType w:val="hybridMultilevel"/>
    <w:tmpl w:val="84425D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04307"/>
    <w:multiLevelType w:val="hybridMultilevel"/>
    <w:tmpl w:val="EDA2E2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028C6"/>
    <w:multiLevelType w:val="hybridMultilevel"/>
    <w:tmpl w:val="C5C80072"/>
    <w:lvl w:ilvl="0" w:tplc="729AF694">
      <w:numFmt w:val="bullet"/>
      <w:lvlText w:val=""/>
      <w:lvlJc w:val="left"/>
      <w:pPr>
        <w:ind w:left="4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FE48BC">
      <w:numFmt w:val="bullet"/>
      <w:lvlText w:val="•"/>
      <w:lvlJc w:val="left"/>
      <w:pPr>
        <w:ind w:left="1384" w:hanging="361"/>
      </w:pPr>
      <w:rPr>
        <w:rFonts w:hint="default"/>
        <w:lang w:val="en-US" w:eastAsia="en-US" w:bidi="ar-SA"/>
      </w:rPr>
    </w:lvl>
    <w:lvl w:ilvl="2" w:tplc="E4C2A54A">
      <w:numFmt w:val="bullet"/>
      <w:lvlText w:val="•"/>
      <w:lvlJc w:val="left"/>
      <w:pPr>
        <w:ind w:left="2289" w:hanging="361"/>
      </w:pPr>
      <w:rPr>
        <w:rFonts w:hint="default"/>
        <w:lang w:val="en-US" w:eastAsia="en-US" w:bidi="ar-SA"/>
      </w:rPr>
    </w:lvl>
    <w:lvl w:ilvl="3" w:tplc="8E944EE0">
      <w:numFmt w:val="bullet"/>
      <w:lvlText w:val="•"/>
      <w:lvlJc w:val="left"/>
      <w:pPr>
        <w:ind w:left="3194" w:hanging="361"/>
      </w:pPr>
      <w:rPr>
        <w:rFonts w:hint="default"/>
        <w:lang w:val="en-US" w:eastAsia="en-US" w:bidi="ar-SA"/>
      </w:rPr>
    </w:lvl>
    <w:lvl w:ilvl="4" w:tplc="3702D2DC">
      <w:numFmt w:val="bullet"/>
      <w:lvlText w:val="•"/>
      <w:lvlJc w:val="left"/>
      <w:pPr>
        <w:ind w:left="4099" w:hanging="361"/>
      </w:pPr>
      <w:rPr>
        <w:rFonts w:hint="default"/>
        <w:lang w:val="en-US" w:eastAsia="en-US" w:bidi="ar-SA"/>
      </w:rPr>
    </w:lvl>
    <w:lvl w:ilvl="5" w:tplc="BCDAB034"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6" w:tplc="49280496">
      <w:numFmt w:val="bullet"/>
      <w:lvlText w:val="•"/>
      <w:lvlJc w:val="left"/>
      <w:pPr>
        <w:ind w:left="5909" w:hanging="361"/>
      </w:pPr>
      <w:rPr>
        <w:rFonts w:hint="default"/>
        <w:lang w:val="en-US" w:eastAsia="en-US" w:bidi="ar-SA"/>
      </w:rPr>
    </w:lvl>
    <w:lvl w:ilvl="7" w:tplc="3D1CC9D4">
      <w:numFmt w:val="bullet"/>
      <w:lvlText w:val="•"/>
      <w:lvlJc w:val="left"/>
      <w:pPr>
        <w:ind w:left="6814" w:hanging="361"/>
      </w:pPr>
      <w:rPr>
        <w:rFonts w:hint="default"/>
        <w:lang w:val="en-US" w:eastAsia="en-US" w:bidi="ar-SA"/>
      </w:rPr>
    </w:lvl>
    <w:lvl w:ilvl="8" w:tplc="59AA44C6">
      <w:numFmt w:val="bullet"/>
      <w:lvlText w:val="•"/>
      <w:lvlJc w:val="left"/>
      <w:pPr>
        <w:ind w:left="771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AFE0A12"/>
    <w:multiLevelType w:val="hybridMultilevel"/>
    <w:tmpl w:val="CCBCF5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7079"/>
    <w:multiLevelType w:val="hybridMultilevel"/>
    <w:tmpl w:val="2D0CB1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11B58"/>
    <w:multiLevelType w:val="hybridMultilevel"/>
    <w:tmpl w:val="10D4E7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1250F"/>
    <w:multiLevelType w:val="hybridMultilevel"/>
    <w:tmpl w:val="D56642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3787016">
    <w:abstractNumId w:val="2"/>
  </w:num>
  <w:num w:numId="2" w16cid:durableId="1266496208">
    <w:abstractNumId w:val="0"/>
  </w:num>
  <w:num w:numId="3" w16cid:durableId="1536885704">
    <w:abstractNumId w:val="1"/>
  </w:num>
  <w:num w:numId="4" w16cid:durableId="991979675">
    <w:abstractNumId w:val="7"/>
  </w:num>
  <w:num w:numId="5" w16cid:durableId="824971339">
    <w:abstractNumId w:val="3"/>
  </w:num>
  <w:num w:numId="6" w16cid:durableId="1322274453">
    <w:abstractNumId w:val="6"/>
  </w:num>
  <w:num w:numId="7" w16cid:durableId="1193346354">
    <w:abstractNumId w:val="9"/>
  </w:num>
  <w:num w:numId="8" w16cid:durableId="1472332090">
    <w:abstractNumId w:val="5"/>
  </w:num>
  <w:num w:numId="9" w16cid:durableId="221337061">
    <w:abstractNumId w:val="10"/>
  </w:num>
  <w:num w:numId="10" w16cid:durableId="2089881009">
    <w:abstractNumId w:val="8"/>
  </w:num>
  <w:num w:numId="11" w16cid:durableId="2017028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A73"/>
    <w:rsid w:val="00002181"/>
    <w:rsid w:val="000B3ECF"/>
    <w:rsid w:val="0011136E"/>
    <w:rsid w:val="00127F61"/>
    <w:rsid w:val="001C4368"/>
    <w:rsid w:val="00204A82"/>
    <w:rsid w:val="00205697"/>
    <w:rsid w:val="002057C2"/>
    <w:rsid w:val="00213A73"/>
    <w:rsid w:val="0022428F"/>
    <w:rsid w:val="0028318A"/>
    <w:rsid w:val="002B1E1D"/>
    <w:rsid w:val="002C3A14"/>
    <w:rsid w:val="002C5B9A"/>
    <w:rsid w:val="002F16E9"/>
    <w:rsid w:val="00317F2A"/>
    <w:rsid w:val="00354AF0"/>
    <w:rsid w:val="0036385B"/>
    <w:rsid w:val="00370FD5"/>
    <w:rsid w:val="0038283C"/>
    <w:rsid w:val="003A05DA"/>
    <w:rsid w:val="003E1EAC"/>
    <w:rsid w:val="00460F1D"/>
    <w:rsid w:val="004B3607"/>
    <w:rsid w:val="00506FDC"/>
    <w:rsid w:val="00516F50"/>
    <w:rsid w:val="005D2E53"/>
    <w:rsid w:val="006527E7"/>
    <w:rsid w:val="006734E2"/>
    <w:rsid w:val="0074445B"/>
    <w:rsid w:val="007D4061"/>
    <w:rsid w:val="0082257A"/>
    <w:rsid w:val="00832A5C"/>
    <w:rsid w:val="0084545E"/>
    <w:rsid w:val="00883E83"/>
    <w:rsid w:val="008B46DC"/>
    <w:rsid w:val="00925694"/>
    <w:rsid w:val="00996921"/>
    <w:rsid w:val="009B1919"/>
    <w:rsid w:val="009D3624"/>
    <w:rsid w:val="00A24499"/>
    <w:rsid w:val="00A84AA8"/>
    <w:rsid w:val="00A95531"/>
    <w:rsid w:val="00AC6BBC"/>
    <w:rsid w:val="00B5112A"/>
    <w:rsid w:val="00B65EAC"/>
    <w:rsid w:val="00B77EE1"/>
    <w:rsid w:val="00B86FF2"/>
    <w:rsid w:val="00BD3B22"/>
    <w:rsid w:val="00BF567C"/>
    <w:rsid w:val="00C37ABC"/>
    <w:rsid w:val="00C95C88"/>
    <w:rsid w:val="00CB3D10"/>
    <w:rsid w:val="00CE3876"/>
    <w:rsid w:val="00D02161"/>
    <w:rsid w:val="00D376EF"/>
    <w:rsid w:val="00D55D40"/>
    <w:rsid w:val="00D84A31"/>
    <w:rsid w:val="00DA72CF"/>
    <w:rsid w:val="00DE041C"/>
    <w:rsid w:val="00DE4070"/>
    <w:rsid w:val="00E0280A"/>
    <w:rsid w:val="00F02F4A"/>
    <w:rsid w:val="00F2446D"/>
    <w:rsid w:val="00F272DD"/>
    <w:rsid w:val="00F46D56"/>
    <w:rsid w:val="00F7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12A1"/>
  <w15:chartTrackingRefBased/>
  <w15:docId w15:val="{BD19C2FB-0811-4549-B40C-822ABC92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272D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77E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7EE1"/>
    <w:rPr>
      <w:rFonts w:ascii="Cambria" w:eastAsia="Cambria" w:hAnsi="Cambria" w:cs="Cambria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3A0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5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4A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4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A3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6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ljmu.ac.uk/staff/hr/visitors-and-honorary-visitors-guidance/general-guidan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jmu.ac.uk/staff/hr/visitors-and-honorary-visitors-guidance/general-guidance" TargetMode="External"/><Relationship Id="rId5" Type="http://schemas.openxmlformats.org/officeDocument/2006/relationships/hyperlink" Target="https://ljmu.ac.uk/staff/hr/visitors-and-honorary-visitors-guidance/general-guidance" TargetMode="External"/><Relationship Id="rId15" Type="http://schemas.openxmlformats.org/officeDocument/2006/relationships/hyperlink" Target="https://ljmu.ac.uk/staff/hr/visitors-and-honorary-visitors-guidance/general-guidance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Foster-Hyde, Janette</dc:creator>
  <cp:keywords/>
  <dc:description/>
  <cp:lastModifiedBy>Byrne, Jennie</cp:lastModifiedBy>
  <cp:revision>6</cp:revision>
  <cp:lastPrinted>2024-10-30T14:16:00Z</cp:lastPrinted>
  <dcterms:created xsi:type="dcterms:W3CDTF">2024-10-30T14:11:00Z</dcterms:created>
  <dcterms:modified xsi:type="dcterms:W3CDTF">2024-10-30T16:36:00Z</dcterms:modified>
</cp:coreProperties>
</file>