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BE466" w14:textId="77777777" w:rsidR="004F3805" w:rsidRDefault="000F1BCA">
      <w:pPr>
        <w:spacing w:after="0" w:line="259" w:lineRule="auto"/>
        <w:ind w:left="0" w:right="4152" w:firstLine="0"/>
        <w:jc w:val="center"/>
      </w:pPr>
      <w:r>
        <w:rPr>
          <w:noProof/>
        </w:rPr>
        <w:drawing>
          <wp:inline distT="0" distB="0" distL="0" distR="0" wp14:anchorId="75EA34E6" wp14:editId="5F3CE66A">
            <wp:extent cx="3035935" cy="878205"/>
            <wp:effectExtent l="0" t="0" r="0" b="0"/>
            <wp:docPr id="400" name="Picture 4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00" name="Picture 400">
                      <a:extLst>
                        <a:ext uri="{C183D7F6-B498-43B3-948B-1728B52AA6E4}">
                          <adec:decorative xmlns:adec="http://schemas.microsoft.com/office/drawing/2017/decorative" val="1"/>
                        </a:ext>
                      </a:extLst>
                    </pic:cNvPr>
                    <pic:cNvPicPr/>
                  </pic:nvPicPr>
                  <pic:blipFill>
                    <a:blip r:embed="rId8"/>
                    <a:stretch>
                      <a:fillRect/>
                    </a:stretch>
                  </pic:blipFill>
                  <pic:spPr>
                    <a:xfrm>
                      <a:off x="0" y="0"/>
                      <a:ext cx="3035935" cy="878205"/>
                    </a:xfrm>
                    <a:prstGeom prst="rect">
                      <a:avLst/>
                    </a:prstGeom>
                  </pic:spPr>
                </pic:pic>
              </a:graphicData>
            </a:graphic>
          </wp:inline>
        </w:drawing>
      </w:r>
      <w:r>
        <w:rPr>
          <w:sz w:val="24"/>
        </w:rPr>
        <w:t xml:space="preserve"> </w:t>
      </w:r>
    </w:p>
    <w:p w14:paraId="02B60758" w14:textId="77777777" w:rsidR="004F3805" w:rsidRDefault="000F1BCA">
      <w:pPr>
        <w:spacing w:after="667" w:line="259" w:lineRule="auto"/>
        <w:ind w:left="26" w:firstLine="0"/>
      </w:pPr>
      <w:r>
        <w:rPr>
          <w:sz w:val="24"/>
        </w:rPr>
        <w:t xml:space="preserve"> </w:t>
      </w:r>
    </w:p>
    <w:p w14:paraId="1C447484" w14:textId="3E462211" w:rsidR="004F3805" w:rsidRDefault="000F1BCA" w:rsidP="000F1BCA">
      <w:pPr>
        <w:shd w:val="clear" w:color="auto" w:fill="D9D9D9"/>
        <w:spacing w:after="328" w:line="259" w:lineRule="auto"/>
        <w:ind w:left="0" w:right="151" w:firstLine="0"/>
        <w:jc w:val="center"/>
      </w:pPr>
      <w:r>
        <w:rPr>
          <w:b/>
          <w:sz w:val="40"/>
        </w:rPr>
        <w:t>Student Attendance Policy: Appeals</w:t>
      </w:r>
    </w:p>
    <w:p w14:paraId="0936B29E" w14:textId="77777777" w:rsidR="004F3805" w:rsidRDefault="000F1BCA">
      <w:pPr>
        <w:spacing w:after="0" w:line="259" w:lineRule="auto"/>
        <w:ind w:left="26" w:firstLine="0"/>
      </w:pPr>
      <w:r>
        <w:rPr>
          <w:sz w:val="24"/>
        </w:rPr>
        <w:t xml:space="preserve"> </w:t>
      </w:r>
    </w:p>
    <w:tbl>
      <w:tblPr>
        <w:tblStyle w:val="TableGrid"/>
        <w:tblpPr w:vertAnchor="text" w:tblpX="134" w:tblpY="-51"/>
        <w:tblOverlap w:val="never"/>
        <w:tblW w:w="4111" w:type="dxa"/>
        <w:tblInd w:w="0" w:type="dxa"/>
        <w:tblCellMar>
          <w:top w:w="51" w:type="dxa"/>
          <w:left w:w="108" w:type="dxa"/>
          <w:right w:w="115" w:type="dxa"/>
        </w:tblCellMar>
        <w:tblLook w:val="04A0" w:firstRow="1" w:lastRow="0" w:firstColumn="1" w:lastColumn="0" w:noHBand="0" w:noVBand="1"/>
      </w:tblPr>
      <w:tblGrid>
        <w:gridCol w:w="4111"/>
      </w:tblGrid>
      <w:tr w:rsidR="004F3805" w14:paraId="19E18B07" w14:textId="77777777">
        <w:trPr>
          <w:trHeight w:val="4013"/>
        </w:trPr>
        <w:tc>
          <w:tcPr>
            <w:tcW w:w="4111" w:type="dxa"/>
            <w:tcBorders>
              <w:top w:val="nil"/>
              <w:left w:val="nil"/>
              <w:bottom w:val="nil"/>
              <w:right w:val="nil"/>
            </w:tcBorders>
            <w:shd w:val="clear" w:color="auto" w:fill="D9D9D9"/>
          </w:tcPr>
          <w:p w14:paraId="126F0688" w14:textId="77777777" w:rsidR="004F3805" w:rsidRDefault="000F1BCA">
            <w:pPr>
              <w:spacing w:after="211" w:line="259" w:lineRule="auto"/>
              <w:ind w:left="0" w:firstLine="0"/>
            </w:pPr>
            <w:r>
              <w:rPr>
                <w:b/>
                <w:sz w:val="24"/>
              </w:rPr>
              <w:t xml:space="preserve">Responsibility for Policy: </w:t>
            </w:r>
          </w:p>
          <w:p w14:paraId="485A4C8C" w14:textId="77777777" w:rsidR="004F3805" w:rsidRDefault="000F1BCA">
            <w:pPr>
              <w:spacing w:after="213" w:line="259" w:lineRule="auto"/>
              <w:ind w:left="0" w:firstLine="0"/>
            </w:pPr>
            <w:r>
              <w:rPr>
                <w:b/>
                <w:sz w:val="24"/>
              </w:rPr>
              <w:t xml:space="preserve">Relevant to: </w:t>
            </w:r>
          </w:p>
          <w:p w14:paraId="4B377917" w14:textId="77777777" w:rsidR="004F3805" w:rsidRDefault="000F1BCA">
            <w:pPr>
              <w:spacing w:after="211" w:line="259" w:lineRule="auto"/>
              <w:ind w:left="0" w:firstLine="0"/>
            </w:pPr>
            <w:r>
              <w:rPr>
                <w:b/>
                <w:sz w:val="24"/>
              </w:rPr>
              <w:t xml:space="preserve">Approved by:  </w:t>
            </w:r>
          </w:p>
          <w:p w14:paraId="2A2D4637" w14:textId="77777777" w:rsidR="004F3805" w:rsidRDefault="000F1BCA">
            <w:pPr>
              <w:spacing w:after="0" w:line="240" w:lineRule="auto"/>
              <w:ind w:left="0" w:firstLine="0"/>
            </w:pPr>
            <w:r>
              <w:rPr>
                <w:b/>
                <w:sz w:val="24"/>
              </w:rPr>
              <w:t xml:space="preserve">Responsibility for Document Review: </w:t>
            </w:r>
          </w:p>
          <w:p w14:paraId="25EB842C" w14:textId="77777777" w:rsidR="004F3805" w:rsidRDefault="000F1BCA">
            <w:pPr>
              <w:spacing w:after="0" w:line="259" w:lineRule="auto"/>
              <w:ind w:left="0" w:firstLine="0"/>
            </w:pPr>
            <w:r>
              <w:rPr>
                <w:b/>
                <w:sz w:val="24"/>
              </w:rPr>
              <w:t xml:space="preserve"> </w:t>
            </w:r>
          </w:p>
          <w:p w14:paraId="573A5DCE" w14:textId="77777777" w:rsidR="004F3805" w:rsidRDefault="000F1BCA">
            <w:pPr>
              <w:spacing w:after="297" w:line="259" w:lineRule="auto"/>
              <w:ind w:left="0" w:firstLine="0"/>
            </w:pPr>
            <w:r>
              <w:rPr>
                <w:b/>
                <w:sz w:val="24"/>
              </w:rPr>
              <w:t xml:space="preserve">Date introduced: </w:t>
            </w:r>
          </w:p>
          <w:p w14:paraId="752D8F29" w14:textId="77777777" w:rsidR="004F3805" w:rsidRDefault="000F1BCA">
            <w:pPr>
              <w:spacing w:after="254" w:line="259" w:lineRule="auto"/>
              <w:ind w:left="0" w:firstLine="0"/>
            </w:pPr>
            <w:r>
              <w:rPr>
                <w:b/>
                <w:sz w:val="24"/>
              </w:rPr>
              <w:t xml:space="preserve">Date(s) modified: </w:t>
            </w:r>
          </w:p>
          <w:p w14:paraId="6FDA043D" w14:textId="77777777" w:rsidR="004F3805" w:rsidRDefault="000F1BCA">
            <w:pPr>
              <w:spacing w:after="0" w:line="259" w:lineRule="auto"/>
              <w:ind w:left="0" w:firstLine="0"/>
            </w:pPr>
            <w:r>
              <w:rPr>
                <w:b/>
                <w:sz w:val="24"/>
              </w:rPr>
              <w:t xml:space="preserve">Next Review Date: </w:t>
            </w:r>
          </w:p>
        </w:tc>
      </w:tr>
    </w:tbl>
    <w:p w14:paraId="7C9F508C" w14:textId="77777777" w:rsidR="004F3805" w:rsidRDefault="000F1BCA">
      <w:pPr>
        <w:spacing w:after="211" w:line="259" w:lineRule="auto"/>
        <w:ind w:left="194"/>
      </w:pPr>
      <w:r>
        <w:rPr>
          <w:sz w:val="24"/>
        </w:rPr>
        <w:t xml:space="preserve">Registrar and Chief Operating Officer </w:t>
      </w:r>
    </w:p>
    <w:p w14:paraId="06E2163B" w14:textId="49B6AB01" w:rsidR="004F3805" w:rsidRDefault="000F1BCA">
      <w:pPr>
        <w:spacing w:after="213" w:line="259" w:lineRule="auto"/>
        <w:ind w:left="194"/>
      </w:pPr>
      <w:r>
        <w:rPr>
          <w:sz w:val="24"/>
        </w:rPr>
        <w:t>All LJMU</w:t>
      </w:r>
      <w:r w:rsidR="000E4400">
        <w:rPr>
          <w:sz w:val="24"/>
        </w:rPr>
        <w:t xml:space="preserve"> staff and</w:t>
      </w:r>
      <w:r>
        <w:rPr>
          <w:sz w:val="24"/>
        </w:rPr>
        <w:t xml:space="preserve"> students </w:t>
      </w:r>
      <w:r w:rsidR="000E4400">
        <w:rPr>
          <w:sz w:val="24"/>
        </w:rPr>
        <w:t>except those students studying at an academic partner.</w:t>
      </w:r>
    </w:p>
    <w:p w14:paraId="2A7B8337" w14:textId="77777777" w:rsidR="004F3805" w:rsidRDefault="000F1BCA">
      <w:pPr>
        <w:spacing w:after="211" w:line="259" w:lineRule="auto"/>
        <w:ind w:left="194"/>
      </w:pPr>
      <w:r>
        <w:rPr>
          <w:sz w:val="24"/>
        </w:rPr>
        <w:t xml:space="preserve">Academic Board, October 2020 </w:t>
      </w:r>
    </w:p>
    <w:p w14:paraId="5F65AE25" w14:textId="63566378" w:rsidR="004F3805" w:rsidRDefault="000F1BCA" w:rsidP="000F1BCA">
      <w:pPr>
        <w:spacing w:after="254" w:line="259" w:lineRule="auto"/>
        <w:ind w:left="144"/>
      </w:pPr>
      <w:r>
        <w:rPr>
          <w:sz w:val="24"/>
        </w:rPr>
        <w:t>St</w:t>
      </w:r>
      <w:r w:rsidR="000E4400">
        <w:rPr>
          <w:sz w:val="24"/>
        </w:rPr>
        <w:t>uart Borthwick, St</w:t>
      </w:r>
      <w:r>
        <w:rPr>
          <w:sz w:val="24"/>
        </w:rPr>
        <w:t xml:space="preserve">udent Governance  </w:t>
      </w:r>
    </w:p>
    <w:p w14:paraId="76F020BD" w14:textId="77777777" w:rsidR="004F3805" w:rsidRDefault="000F1BCA" w:rsidP="000F1BCA">
      <w:pPr>
        <w:spacing w:after="0" w:line="259" w:lineRule="auto"/>
        <w:ind w:left="144"/>
      </w:pPr>
      <w:r>
        <w:rPr>
          <w:sz w:val="24"/>
        </w:rPr>
        <w:t xml:space="preserve">September 2020  </w:t>
      </w:r>
    </w:p>
    <w:p w14:paraId="7524E3E0" w14:textId="77777777" w:rsidR="004F3805" w:rsidRDefault="000F1BCA">
      <w:pPr>
        <w:spacing w:after="21" w:line="259" w:lineRule="auto"/>
        <w:ind w:left="134" w:right="279" w:firstLine="0"/>
        <w:jc w:val="center"/>
      </w:pPr>
      <w:r>
        <w:rPr>
          <w:sz w:val="24"/>
        </w:rPr>
        <w:t xml:space="preserve"> </w:t>
      </w:r>
    </w:p>
    <w:p w14:paraId="2346F3E6" w14:textId="0E331F0F" w:rsidR="004F3805" w:rsidRDefault="000F1BCA">
      <w:pPr>
        <w:spacing w:after="0" w:line="259" w:lineRule="auto"/>
        <w:ind w:left="194"/>
      </w:pPr>
      <w:r>
        <w:rPr>
          <w:sz w:val="24"/>
        </w:rPr>
        <w:t xml:space="preserve">Aug 2021, Sep 2022, </w:t>
      </w:r>
      <w:r w:rsidR="00A54A61">
        <w:rPr>
          <w:sz w:val="24"/>
        </w:rPr>
        <w:t>Oct</w:t>
      </w:r>
      <w:r>
        <w:rPr>
          <w:sz w:val="24"/>
        </w:rPr>
        <w:t xml:space="preserve"> 2023</w:t>
      </w:r>
      <w:r w:rsidR="003F6DF9">
        <w:rPr>
          <w:sz w:val="24"/>
        </w:rPr>
        <w:t>, Sep 2024</w:t>
      </w:r>
    </w:p>
    <w:p w14:paraId="74078B34" w14:textId="77777777" w:rsidR="004F3805" w:rsidRDefault="000F1BCA">
      <w:pPr>
        <w:spacing w:after="0" w:line="259" w:lineRule="auto"/>
        <w:ind w:left="134" w:right="279" w:firstLine="0"/>
        <w:jc w:val="center"/>
      </w:pPr>
      <w:r>
        <w:rPr>
          <w:sz w:val="24"/>
        </w:rPr>
        <w:t xml:space="preserve"> </w:t>
      </w:r>
    </w:p>
    <w:p w14:paraId="6074431F" w14:textId="20BC4AF2" w:rsidR="004F3805" w:rsidRDefault="003F6DF9" w:rsidP="000F1BCA">
      <w:pPr>
        <w:spacing w:after="211" w:line="259" w:lineRule="auto"/>
        <w:ind w:left="144"/>
      </w:pPr>
      <w:r>
        <w:rPr>
          <w:sz w:val="24"/>
        </w:rPr>
        <w:t>September 2025</w:t>
      </w:r>
    </w:p>
    <w:p w14:paraId="673FF86A" w14:textId="77777777" w:rsidR="004F3805" w:rsidRDefault="000F1BCA">
      <w:pPr>
        <w:spacing w:after="0" w:line="259" w:lineRule="auto"/>
        <w:ind w:left="26" w:firstLine="0"/>
      </w:pPr>
      <w:r>
        <w:rPr>
          <w:sz w:val="24"/>
        </w:rPr>
        <w:t xml:space="preserve"> </w:t>
      </w:r>
    </w:p>
    <w:p w14:paraId="1C29F9E3" w14:textId="77777777" w:rsidR="004F3805" w:rsidRDefault="000F1BCA">
      <w:pPr>
        <w:shd w:val="clear" w:color="auto" w:fill="D9D9D9"/>
        <w:spacing w:after="0" w:line="259" w:lineRule="auto"/>
        <w:ind w:left="-8" w:firstLine="0"/>
      </w:pPr>
      <w:r>
        <w:rPr>
          <w:b/>
          <w:sz w:val="24"/>
        </w:rPr>
        <w:t xml:space="preserve"> </w:t>
      </w:r>
    </w:p>
    <w:p w14:paraId="11644B37" w14:textId="77777777" w:rsidR="004F3805" w:rsidRDefault="000F1BCA">
      <w:pPr>
        <w:shd w:val="clear" w:color="auto" w:fill="D9D9D9"/>
        <w:spacing w:after="206" w:line="259" w:lineRule="auto"/>
        <w:ind w:left="2"/>
      </w:pPr>
      <w:r>
        <w:rPr>
          <w:b/>
          <w:sz w:val="24"/>
        </w:rPr>
        <w:t>RELEVANT DOCUMENTS</w:t>
      </w:r>
      <w:r>
        <w:rPr>
          <w:b/>
          <w:i/>
          <w:sz w:val="24"/>
        </w:rPr>
        <w:t xml:space="preserve"> </w:t>
      </w:r>
    </w:p>
    <w:p w14:paraId="4FA636F9" w14:textId="77777777" w:rsidR="004F3805" w:rsidRDefault="000F1BCA">
      <w:pPr>
        <w:spacing w:after="0" w:line="259" w:lineRule="auto"/>
        <w:ind w:left="194"/>
      </w:pPr>
      <w:r>
        <w:rPr>
          <w:sz w:val="24"/>
        </w:rPr>
        <w:t xml:space="preserve">List here any documents that relate to the creation of this policy </w:t>
      </w:r>
    </w:p>
    <w:p w14:paraId="3697DEED" w14:textId="77777777" w:rsidR="004F3805" w:rsidRDefault="000F1BCA">
      <w:pPr>
        <w:spacing w:after="29" w:line="259" w:lineRule="auto"/>
        <w:ind w:left="199" w:firstLine="0"/>
      </w:pPr>
      <w:r>
        <w:rPr>
          <w:sz w:val="24"/>
        </w:rPr>
        <w:t xml:space="preserve"> </w:t>
      </w:r>
    </w:p>
    <w:p w14:paraId="7B4FF639" w14:textId="77777777" w:rsidR="004F3805" w:rsidRDefault="000F1BCA">
      <w:pPr>
        <w:numPr>
          <w:ilvl w:val="0"/>
          <w:numId w:val="1"/>
        </w:numPr>
        <w:spacing w:after="0" w:line="259" w:lineRule="auto"/>
        <w:ind w:hanging="360"/>
      </w:pPr>
      <w:r>
        <w:rPr>
          <w:sz w:val="24"/>
        </w:rPr>
        <w:t xml:space="preserve">Student Attendance Policy </w:t>
      </w:r>
    </w:p>
    <w:p w14:paraId="45A5D787" w14:textId="77777777" w:rsidR="004F3805" w:rsidRDefault="000F1BCA">
      <w:pPr>
        <w:numPr>
          <w:ilvl w:val="0"/>
          <w:numId w:val="1"/>
        </w:numPr>
        <w:spacing w:after="0" w:line="259" w:lineRule="auto"/>
        <w:ind w:hanging="360"/>
      </w:pPr>
      <w:r>
        <w:rPr>
          <w:sz w:val="24"/>
        </w:rPr>
        <w:t xml:space="preserve">Conditions of Offer and Enrolment </w:t>
      </w:r>
    </w:p>
    <w:p w14:paraId="064A2266" w14:textId="77777777" w:rsidR="004F3805" w:rsidRDefault="000F1BCA">
      <w:pPr>
        <w:spacing w:after="168" w:line="259" w:lineRule="auto"/>
        <w:ind w:left="0" w:firstLine="0"/>
      </w:pPr>
      <w:r>
        <w:rPr>
          <w:b/>
          <w:sz w:val="24"/>
        </w:rPr>
        <w:t xml:space="preserve"> </w:t>
      </w:r>
    </w:p>
    <w:p w14:paraId="65165A0D" w14:textId="77777777" w:rsidR="004F3805" w:rsidRDefault="000F1BCA">
      <w:pPr>
        <w:shd w:val="clear" w:color="auto" w:fill="D9D9D9"/>
        <w:spacing w:after="180" w:line="259" w:lineRule="auto"/>
        <w:ind w:left="-5"/>
      </w:pPr>
      <w:r>
        <w:rPr>
          <w:b/>
          <w:sz w:val="24"/>
        </w:rPr>
        <w:t xml:space="preserve">RELATED POLICIES &amp; DOCUMENTS </w:t>
      </w:r>
    </w:p>
    <w:p w14:paraId="25898B00" w14:textId="77777777" w:rsidR="004F3805" w:rsidRDefault="000F1BCA">
      <w:pPr>
        <w:spacing w:after="0" w:line="259" w:lineRule="auto"/>
        <w:ind w:left="199" w:firstLine="0"/>
      </w:pPr>
      <w:r>
        <w:rPr>
          <w:sz w:val="24"/>
        </w:rPr>
        <w:t xml:space="preserve"> </w:t>
      </w:r>
    </w:p>
    <w:p w14:paraId="28A65685" w14:textId="77777777" w:rsidR="004F3805" w:rsidRDefault="000F1BCA">
      <w:pPr>
        <w:spacing w:after="0" w:line="259" w:lineRule="auto"/>
        <w:ind w:left="194"/>
      </w:pPr>
      <w:r>
        <w:rPr>
          <w:sz w:val="24"/>
        </w:rPr>
        <w:t xml:space="preserve">N/A </w:t>
      </w:r>
    </w:p>
    <w:p w14:paraId="1051E5CA" w14:textId="77777777" w:rsidR="004F3805" w:rsidRDefault="000F1BCA">
      <w:pPr>
        <w:spacing w:after="0" w:line="259" w:lineRule="auto"/>
        <w:ind w:left="199" w:firstLine="0"/>
      </w:pPr>
      <w:r>
        <w:rPr>
          <w:sz w:val="24"/>
        </w:rPr>
        <w:t xml:space="preserve"> </w:t>
      </w:r>
    </w:p>
    <w:p w14:paraId="30E93613" w14:textId="77777777" w:rsidR="004F3805" w:rsidRDefault="000F1BCA">
      <w:pPr>
        <w:spacing w:after="7" w:line="259" w:lineRule="auto"/>
        <w:ind w:left="0" w:firstLine="0"/>
      </w:pPr>
      <w:r>
        <w:rPr>
          <w:b/>
          <w:sz w:val="24"/>
        </w:rPr>
        <w:t xml:space="preserve"> </w:t>
      </w:r>
    </w:p>
    <w:p w14:paraId="7DCC3983" w14:textId="77777777" w:rsidR="004F3805" w:rsidRDefault="000F1BCA">
      <w:pPr>
        <w:spacing w:after="0" w:line="259" w:lineRule="auto"/>
        <w:ind w:left="26" w:firstLine="0"/>
      </w:pPr>
      <w:r>
        <w:rPr>
          <w:b/>
          <w:sz w:val="24"/>
        </w:rPr>
        <w:t xml:space="preserve"> </w:t>
      </w:r>
    </w:p>
    <w:p w14:paraId="1EC742CA" w14:textId="77777777" w:rsidR="004F3805" w:rsidRDefault="000F1BCA">
      <w:pPr>
        <w:spacing w:after="0" w:line="259" w:lineRule="auto"/>
        <w:ind w:left="26" w:firstLine="0"/>
      </w:pPr>
      <w:r>
        <w:rPr>
          <w:b/>
          <w:sz w:val="24"/>
        </w:rPr>
        <w:t xml:space="preserve"> </w:t>
      </w:r>
    </w:p>
    <w:p w14:paraId="5D59FDF2" w14:textId="77777777" w:rsidR="004F3805" w:rsidRDefault="000F1BCA">
      <w:pPr>
        <w:spacing w:after="0" w:line="259" w:lineRule="auto"/>
        <w:ind w:left="26" w:firstLine="0"/>
      </w:pPr>
      <w:r>
        <w:rPr>
          <w:b/>
          <w:sz w:val="24"/>
        </w:rPr>
        <w:t xml:space="preserve"> </w:t>
      </w:r>
    </w:p>
    <w:p w14:paraId="60702074" w14:textId="77777777" w:rsidR="004F3805" w:rsidRDefault="000F1BCA">
      <w:pPr>
        <w:spacing w:after="160" w:line="259" w:lineRule="auto"/>
        <w:ind w:left="26" w:firstLine="0"/>
      </w:pPr>
      <w:r>
        <w:rPr>
          <w:sz w:val="24"/>
        </w:rPr>
        <w:t xml:space="preserve"> </w:t>
      </w:r>
    </w:p>
    <w:p w14:paraId="4899DF6D" w14:textId="77777777" w:rsidR="004F3805" w:rsidRDefault="000F1BCA">
      <w:pPr>
        <w:spacing w:after="160" w:line="259" w:lineRule="auto"/>
        <w:ind w:left="26" w:firstLine="0"/>
      </w:pPr>
      <w:r>
        <w:rPr>
          <w:sz w:val="24"/>
        </w:rPr>
        <w:t xml:space="preserve"> </w:t>
      </w:r>
    </w:p>
    <w:p w14:paraId="521D37E8" w14:textId="77777777" w:rsidR="004F3805" w:rsidRDefault="000F1BCA">
      <w:pPr>
        <w:spacing w:after="0" w:line="259" w:lineRule="auto"/>
        <w:ind w:left="26" w:firstLine="0"/>
      </w:pPr>
      <w:r>
        <w:rPr>
          <w:sz w:val="24"/>
        </w:rPr>
        <w:t xml:space="preserve"> </w:t>
      </w:r>
    </w:p>
    <w:p w14:paraId="45F69AEB" w14:textId="77777777" w:rsidR="004F3805" w:rsidRDefault="000F1BCA" w:rsidP="0045302C">
      <w:pPr>
        <w:ind w:left="22"/>
        <w:jc w:val="both"/>
      </w:pPr>
      <w:r>
        <w:rPr>
          <w:b/>
        </w:rPr>
        <w:lastRenderedPageBreak/>
        <w:t xml:space="preserve">Grounds for Appeal </w:t>
      </w:r>
    </w:p>
    <w:p w14:paraId="20A208D5" w14:textId="77777777" w:rsidR="004F3805" w:rsidRDefault="000F1BCA" w:rsidP="0045302C">
      <w:pPr>
        <w:spacing w:after="0" w:line="259" w:lineRule="auto"/>
        <w:ind w:left="26" w:firstLine="0"/>
        <w:jc w:val="both"/>
      </w:pPr>
      <w:r>
        <w:rPr>
          <w:b/>
        </w:rPr>
        <w:t xml:space="preserve"> </w:t>
      </w:r>
    </w:p>
    <w:p w14:paraId="03399698" w14:textId="77777777" w:rsidR="004F3805" w:rsidRDefault="000F1BCA" w:rsidP="0045302C">
      <w:pPr>
        <w:ind w:left="21"/>
        <w:jc w:val="both"/>
      </w:pPr>
      <w:r>
        <w:t xml:space="preserve">A student may appeal against their withdrawal under the Attendance Policy if they can demonstrate:  </w:t>
      </w:r>
    </w:p>
    <w:p w14:paraId="5352F612" w14:textId="77777777" w:rsidR="004F3805" w:rsidRDefault="000F1BCA" w:rsidP="0045302C">
      <w:pPr>
        <w:spacing w:after="0" w:line="259" w:lineRule="auto"/>
        <w:ind w:left="26" w:firstLine="0"/>
        <w:jc w:val="both"/>
      </w:pPr>
      <w:r>
        <w:t xml:space="preserve"> </w:t>
      </w:r>
    </w:p>
    <w:p w14:paraId="30B6FADE" w14:textId="77777777" w:rsidR="004F3805" w:rsidRDefault="000F1BCA" w:rsidP="0045302C">
      <w:pPr>
        <w:numPr>
          <w:ilvl w:val="0"/>
          <w:numId w:val="2"/>
        </w:numPr>
        <w:ind w:hanging="569"/>
        <w:jc w:val="both"/>
      </w:pPr>
      <w:r>
        <w:t xml:space="preserve">that there has been a material administrative error or;  </w:t>
      </w:r>
    </w:p>
    <w:p w14:paraId="76C2D775" w14:textId="77777777" w:rsidR="004F3805" w:rsidRDefault="000F1BCA" w:rsidP="0045302C">
      <w:pPr>
        <w:numPr>
          <w:ilvl w:val="0"/>
          <w:numId w:val="2"/>
        </w:numPr>
        <w:ind w:hanging="569"/>
        <w:jc w:val="both"/>
      </w:pPr>
      <w:r>
        <w:t xml:space="preserve">some other material irregularity has </w:t>
      </w:r>
      <w:proofErr w:type="gramStart"/>
      <w:r>
        <w:t>occurred;</w:t>
      </w:r>
      <w:proofErr w:type="gramEnd"/>
      <w:r>
        <w:t xml:space="preserve"> </w:t>
      </w:r>
    </w:p>
    <w:p w14:paraId="2BD0A847" w14:textId="77777777" w:rsidR="004F3805" w:rsidRDefault="000F1BCA" w:rsidP="0045302C">
      <w:pPr>
        <w:numPr>
          <w:ilvl w:val="0"/>
          <w:numId w:val="2"/>
        </w:numPr>
        <w:ind w:hanging="569"/>
        <w:jc w:val="both"/>
      </w:pPr>
      <w:r>
        <w:t xml:space="preserve">that the decision to withdraw the student from their programme was unreasonable.  </w:t>
      </w:r>
    </w:p>
    <w:p w14:paraId="7ED48089" w14:textId="77777777" w:rsidR="004F3805" w:rsidRDefault="000F1BCA" w:rsidP="0045302C">
      <w:pPr>
        <w:spacing w:after="0" w:line="259" w:lineRule="auto"/>
        <w:ind w:left="746" w:firstLine="0"/>
        <w:jc w:val="both"/>
      </w:pPr>
      <w:r>
        <w:t xml:space="preserve"> </w:t>
      </w:r>
    </w:p>
    <w:p w14:paraId="3953F251" w14:textId="77777777" w:rsidR="004F3805" w:rsidRDefault="000F1BCA" w:rsidP="0045302C">
      <w:pPr>
        <w:ind w:left="21"/>
        <w:jc w:val="both"/>
      </w:pPr>
      <w:r>
        <w:t xml:space="preserve">Disagreement with the decision to withdraw a student is not in itself grounds for appeal.  </w:t>
      </w:r>
    </w:p>
    <w:p w14:paraId="6483F281" w14:textId="77777777" w:rsidR="004F3805" w:rsidRDefault="000F1BCA" w:rsidP="0045302C">
      <w:pPr>
        <w:spacing w:after="0" w:line="259" w:lineRule="auto"/>
        <w:ind w:left="26" w:firstLine="0"/>
        <w:jc w:val="both"/>
      </w:pPr>
      <w:r>
        <w:t xml:space="preserve"> </w:t>
      </w:r>
    </w:p>
    <w:p w14:paraId="34FB19FA" w14:textId="6773AA30" w:rsidR="004F3805" w:rsidRPr="003F6DF9" w:rsidRDefault="000F1BCA" w:rsidP="0045302C">
      <w:pPr>
        <w:ind w:left="21"/>
        <w:jc w:val="both"/>
        <w:rPr>
          <w:bCs/>
        </w:rPr>
      </w:pPr>
      <w:r>
        <w:t xml:space="preserve">There are strict deadlines for the submission of an appeal. Students must lodge the appeal with the Student Governance office </w:t>
      </w:r>
      <w:r>
        <w:rPr>
          <w:b/>
        </w:rPr>
        <w:t xml:space="preserve">within 10 working days of notification of their withdrawal from the programme.  </w:t>
      </w:r>
    </w:p>
    <w:p w14:paraId="202060DE" w14:textId="77777777" w:rsidR="004F3805" w:rsidRDefault="000F1BCA" w:rsidP="0045302C">
      <w:pPr>
        <w:spacing w:after="0" w:line="259" w:lineRule="auto"/>
        <w:ind w:left="26" w:firstLine="0"/>
        <w:jc w:val="both"/>
      </w:pPr>
      <w:r>
        <w:t xml:space="preserve">  </w:t>
      </w:r>
    </w:p>
    <w:p w14:paraId="1530DE59" w14:textId="44D65CED" w:rsidR="004F3805" w:rsidRDefault="000F1BCA" w:rsidP="0045302C">
      <w:pPr>
        <w:ind w:left="21"/>
        <w:jc w:val="both"/>
      </w:pPr>
      <w:r>
        <w:t>The university reserves the right to reject appeals if they are submitted outside of the specified deadline</w:t>
      </w:r>
      <w:r w:rsidR="003F6DF9">
        <w:t xml:space="preserve"> or do not provide the required information.</w:t>
      </w:r>
      <w:r>
        <w:t xml:space="preserve"> </w:t>
      </w:r>
    </w:p>
    <w:p w14:paraId="0ECEAA91" w14:textId="77777777" w:rsidR="004F3805" w:rsidRDefault="000F1BCA" w:rsidP="0045302C">
      <w:pPr>
        <w:spacing w:after="0" w:line="259" w:lineRule="auto"/>
        <w:ind w:left="26" w:firstLine="0"/>
        <w:jc w:val="both"/>
      </w:pPr>
      <w:r>
        <w:t xml:space="preserve"> </w:t>
      </w:r>
    </w:p>
    <w:p w14:paraId="297232ED" w14:textId="77777777" w:rsidR="004F3805" w:rsidRDefault="000F1BCA" w:rsidP="0045302C">
      <w:pPr>
        <w:ind w:left="21"/>
        <w:jc w:val="both"/>
      </w:pPr>
      <w:r>
        <w:t xml:space="preserve">The Attendance Policy Withdrawal Appeal form is available via Student Governance Forms at </w:t>
      </w:r>
      <w:hyperlink r:id="rId9">
        <w:r>
          <w:rPr>
            <w:color w:val="0563C1"/>
            <w:u w:val="single" w:color="0563C1"/>
          </w:rPr>
          <w:t>https://myservices.ljmu.ac.uk/</w:t>
        </w:r>
      </w:hyperlink>
      <w:hyperlink r:id="rId10">
        <w:r>
          <w:rPr>
            <w:color w:val="0563C1"/>
          </w:rPr>
          <w:t xml:space="preserve"> </w:t>
        </w:r>
      </w:hyperlink>
    </w:p>
    <w:p w14:paraId="1D18750F" w14:textId="77777777" w:rsidR="004F3805" w:rsidRDefault="000F1BCA" w:rsidP="0045302C">
      <w:pPr>
        <w:spacing w:after="0" w:line="259" w:lineRule="auto"/>
        <w:ind w:left="26" w:firstLine="0"/>
        <w:jc w:val="both"/>
      </w:pPr>
      <w:r>
        <w:t xml:space="preserve"> </w:t>
      </w:r>
    </w:p>
    <w:p w14:paraId="4E4F7473" w14:textId="77777777" w:rsidR="004F3805" w:rsidRDefault="000F1BCA" w:rsidP="0045302C">
      <w:pPr>
        <w:ind w:left="21"/>
        <w:jc w:val="both"/>
      </w:pPr>
      <w:r>
        <w:t xml:space="preserve">If you cannot access the online form please contact </w:t>
      </w:r>
      <w:r>
        <w:rPr>
          <w:color w:val="0563C1"/>
          <w:u w:val="single" w:color="0563C1"/>
        </w:rPr>
        <w:t>StudentGovernance@ljmu.ac.uk</w:t>
      </w:r>
      <w:r>
        <w:rPr>
          <w:color w:val="0563C1"/>
        </w:rPr>
        <w:t xml:space="preserve">  </w:t>
      </w:r>
    </w:p>
    <w:p w14:paraId="59333BDD" w14:textId="77777777" w:rsidR="004F3805" w:rsidRDefault="000F1BCA" w:rsidP="0045302C">
      <w:pPr>
        <w:spacing w:after="0" w:line="259" w:lineRule="auto"/>
        <w:ind w:left="26" w:firstLine="0"/>
        <w:jc w:val="both"/>
      </w:pPr>
      <w:r>
        <w:t xml:space="preserve"> </w:t>
      </w:r>
    </w:p>
    <w:p w14:paraId="1D8C7031" w14:textId="3AD5A24C" w:rsidR="004F3805" w:rsidRDefault="000F1BCA" w:rsidP="0045302C">
      <w:pPr>
        <w:ind w:left="21"/>
        <w:jc w:val="both"/>
      </w:pPr>
      <w:r>
        <w:t xml:space="preserve">Your appeal </w:t>
      </w:r>
      <w:r>
        <w:rPr>
          <w:b/>
        </w:rPr>
        <w:t>must be</w:t>
      </w:r>
      <w:r>
        <w:t xml:space="preserve"> accompanied by the decision letter from Registry Services that confirms your withdrawal and any relevant evidence [</w:t>
      </w:r>
      <w:proofErr w:type="gramStart"/>
      <w:r>
        <w:t>e.g.</w:t>
      </w:r>
      <w:proofErr w:type="gramEnd"/>
      <w:r>
        <w:t xml:space="preserve"> evidence that supports your claim that there has been an error in the process] and all such evidence must be numbered and listed on the form.  </w:t>
      </w:r>
    </w:p>
    <w:p w14:paraId="2FB8D8A6" w14:textId="77777777" w:rsidR="004F3805" w:rsidRDefault="000F1BCA" w:rsidP="0045302C">
      <w:pPr>
        <w:spacing w:after="0" w:line="259" w:lineRule="auto"/>
        <w:ind w:left="26" w:firstLine="0"/>
        <w:jc w:val="both"/>
      </w:pPr>
      <w:r>
        <w:t xml:space="preserve"> </w:t>
      </w:r>
    </w:p>
    <w:p w14:paraId="615C31C4" w14:textId="4997B35D" w:rsidR="004F3805" w:rsidRDefault="000F1BCA" w:rsidP="0045302C">
      <w:pPr>
        <w:ind w:left="21"/>
        <w:jc w:val="both"/>
      </w:pPr>
      <w:r>
        <w:t>Only enclose relevant information. Do not include any duplicates or long email trails that are not relevant.</w:t>
      </w:r>
      <w:r>
        <w:rPr>
          <w:b/>
        </w:rPr>
        <w:t xml:space="preserve">  </w:t>
      </w:r>
    </w:p>
    <w:p w14:paraId="28EE27C3" w14:textId="77777777" w:rsidR="004F3805" w:rsidRDefault="000F1BCA" w:rsidP="0045302C">
      <w:pPr>
        <w:spacing w:after="0" w:line="259" w:lineRule="auto"/>
        <w:ind w:left="26" w:firstLine="0"/>
        <w:jc w:val="both"/>
      </w:pPr>
      <w:r>
        <w:rPr>
          <w:b/>
        </w:rPr>
        <w:t xml:space="preserve"> </w:t>
      </w:r>
    </w:p>
    <w:p w14:paraId="53782B78" w14:textId="77777777" w:rsidR="004F3805" w:rsidRPr="003F6DF9" w:rsidRDefault="000F1BCA" w:rsidP="0045302C">
      <w:pPr>
        <w:ind w:left="22"/>
        <w:jc w:val="both"/>
        <w:rPr>
          <w:bCs/>
        </w:rPr>
      </w:pPr>
      <w:r w:rsidRPr="003F6DF9">
        <w:rPr>
          <w:bCs/>
        </w:rPr>
        <w:t xml:space="preserve">Information provided by you will be shared with those involved in responding to your appeal.  Student Governance may also be in receipt of other personal information about you that is relevant to the appeal.  Students should read the </w:t>
      </w:r>
      <w:hyperlink r:id="rId11">
        <w:r w:rsidRPr="003F6DF9">
          <w:rPr>
            <w:bCs/>
            <w:color w:val="0563C1"/>
            <w:u w:val="single" w:color="0563C1"/>
          </w:rPr>
          <w:t>Student</w:t>
        </w:r>
      </w:hyperlink>
      <w:hyperlink r:id="rId12">
        <w:r w:rsidRPr="003F6DF9">
          <w:rPr>
            <w:bCs/>
            <w:color w:val="0563C1"/>
          </w:rPr>
          <w:t xml:space="preserve"> </w:t>
        </w:r>
      </w:hyperlink>
      <w:hyperlink r:id="rId13">
        <w:r w:rsidRPr="003F6DF9">
          <w:rPr>
            <w:bCs/>
            <w:color w:val="0563C1"/>
            <w:u w:val="single" w:color="0563C1"/>
          </w:rPr>
          <w:t>Governance Privacy Notice</w:t>
        </w:r>
      </w:hyperlink>
      <w:hyperlink r:id="rId14">
        <w:r w:rsidRPr="003F6DF9">
          <w:rPr>
            <w:bCs/>
          </w:rPr>
          <w:t xml:space="preserve"> </w:t>
        </w:r>
      </w:hyperlink>
      <w:r w:rsidRPr="003F6DF9">
        <w:rPr>
          <w:bCs/>
        </w:rPr>
        <w:t xml:space="preserve">prior to submitting an Attendance Policy Withdrawal Appeal.  </w:t>
      </w:r>
    </w:p>
    <w:p w14:paraId="44288D4F" w14:textId="77777777" w:rsidR="004F3805" w:rsidRPr="003F6DF9" w:rsidRDefault="000F1BCA" w:rsidP="0045302C">
      <w:pPr>
        <w:spacing w:after="0" w:line="259" w:lineRule="auto"/>
        <w:ind w:left="26" w:firstLine="0"/>
        <w:jc w:val="both"/>
        <w:rPr>
          <w:bCs/>
        </w:rPr>
      </w:pPr>
      <w:r w:rsidRPr="003F6DF9">
        <w:rPr>
          <w:bCs/>
          <w:color w:val="0563C1"/>
        </w:rPr>
        <w:t xml:space="preserve"> </w:t>
      </w:r>
    </w:p>
    <w:p w14:paraId="62C1ED0F" w14:textId="1C183D13" w:rsidR="004F3805" w:rsidRDefault="000F1BCA" w:rsidP="0045302C">
      <w:pPr>
        <w:ind w:left="21"/>
        <w:jc w:val="both"/>
      </w:pPr>
      <w:r>
        <w:t xml:space="preserve">The Assistant Registrar (Student Governance) or nominee, will review all relevant documentation and investigate whether the university has followed due process.  The reviewer will determine whether the Attendance Policy Withdrawal Appeal should be upheld or not upheld and provide the reasons for this decision and specify if any appropriate action or remedy is required.   </w:t>
      </w:r>
    </w:p>
    <w:p w14:paraId="44B03EBA" w14:textId="77777777" w:rsidR="004F3805" w:rsidRDefault="000F1BCA" w:rsidP="0045302C">
      <w:pPr>
        <w:spacing w:after="0" w:line="259" w:lineRule="auto"/>
        <w:ind w:left="27" w:firstLine="0"/>
        <w:jc w:val="both"/>
      </w:pPr>
      <w:r>
        <w:rPr>
          <w:color w:val="0563C1"/>
        </w:rPr>
        <w:t xml:space="preserve"> </w:t>
      </w:r>
    </w:p>
    <w:p w14:paraId="38633D16" w14:textId="63D77A79" w:rsidR="004F3805" w:rsidRDefault="000F1BCA" w:rsidP="0045302C">
      <w:pPr>
        <w:spacing w:after="2" w:line="238" w:lineRule="auto"/>
        <w:ind w:left="27" w:firstLine="0"/>
        <w:jc w:val="both"/>
      </w:pPr>
      <w:r>
        <w:t>Students may attend classes during the appeals process and will be formally notified of appeal decisions in writing within 15</w:t>
      </w:r>
      <w:r w:rsidR="003F6DF9">
        <w:t xml:space="preserve"> </w:t>
      </w:r>
      <w:r>
        <w:t xml:space="preserve">working days and issued with a Completion of Procedures letter. Appeal decisions are final. </w:t>
      </w:r>
    </w:p>
    <w:p w14:paraId="522B54D3" w14:textId="77777777" w:rsidR="004F3805" w:rsidRDefault="000F1BCA" w:rsidP="0045302C">
      <w:pPr>
        <w:spacing w:after="0" w:line="259" w:lineRule="auto"/>
        <w:ind w:left="27" w:firstLine="0"/>
        <w:jc w:val="both"/>
      </w:pPr>
      <w:r>
        <w:t xml:space="preserve"> </w:t>
      </w:r>
    </w:p>
    <w:p w14:paraId="636208B4" w14:textId="77777777" w:rsidR="004F3805" w:rsidRDefault="000F1BCA" w:rsidP="0045302C">
      <w:pPr>
        <w:ind w:left="22"/>
        <w:jc w:val="both"/>
      </w:pPr>
      <w:r>
        <w:rPr>
          <w:b/>
        </w:rPr>
        <w:t xml:space="preserve">Office of the Independent Adjudicator </w:t>
      </w:r>
    </w:p>
    <w:p w14:paraId="42F4CA5E" w14:textId="77777777" w:rsidR="004F3805" w:rsidRDefault="000F1BCA" w:rsidP="0045302C">
      <w:pPr>
        <w:spacing w:after="0" w:line="259" w:lineRule="auto"/>
        <w:ind w:left="27" w:firstLine="0"/>
        <w:jc w:val="both"/>
      </w:pPr>
      <w:r>
        <w:rPr>
          <w:b/>
        </w:rPr>
        <w:t xml:space="preserve"> </w:t>
      </w:r>
    </w:p>
    <w:p w14:paraId="44043DFB" w14:textId="77777777" w:rsidR="004F3805" w:rsidRDefault="000F1BCA" w:rsidP="0045302C">
      <w:pPr>
        <w:ind w:left="21"/>
        <w:jc w:val="both"/>
      </w:pPr>
      <w:r>
        <w:t xml:space="preserve">The Office of the Independent Adjudicator for Higher Education (OIA) runs an independent scheme to review student complaints. Liverpool John Moores University is a member of this scheme. If a student is unhappy with the outcome of an attendance withdrawal appeal they may be able to ask the OIA to review their appeal. Students can find more information about </w:t>
      </w:r>
      <w:r>
        <w:lastRenderedPageBreak/>
        <w:t xml:space="preserve">making a complaint to the OIA, what it can and can’t look at and what it can do to put things right if something has gone wrong at: </w:t>
      </w:r>
      <w:hyperlink r:id="rId15">
        <w:r>
          <w:rPr>
            <w:u w:val="single" w:color="000000"/>
          </w:rPr>
          <w:t>https://www.oiahe.org.uk/students</w:t>
        </w:r>
      </w:hyperlink>
      <w:hyperlink r:id="rId16">
        <w:r>
          <w:t>.</w:t>
        </w:r>
      </w:hyperlink>
      <w:r>
        <w:t xml:space="preserve"> </w:t>
      </w:r>
    </w:p>
    <w:p w14:paraId="71CAAB1C" w14:textId="77777777" w:rsidR="004F3805" w:rsidRDefault="000F1BCA" w:rsidP="0045302C">
      <w:pPr>
        <w:spacing w:after="0" w:line="259" w:lineRule="auto"/>
        <w:ind w:left="26" w:firstLine="0"/>
        <w:jc w:val="both"/>
      </w:pPr>
      <w:r>
        <w:t xml:space="preserve"> </w:t>
      </w:r>
    </w:p>
    <w:p w14:paraId="071344B7" w14:textId="77777777" w:rsidR="004F3805" w:rsidRDefault="000F1BCA" w:rsidP="0045302C">
      <w:pPr>
        <w:ind w:left="21"/>
        <w:jc w:val="both"/>
      </w:pPr>
      <w:r>
        <w:t xml:space="preserve">A student normally needs to have completed the Attendance Appeal procedure before they can complain to the OIA. Liverpool John Moores University will send a student a letter called a “Completion of Procedures Letter” when they have reached the end of university processes and there are no further steps the student can take internally. If the student’s appeal is not upheld, Liverpool John Moores University will issue the student with a Completion of Procedures Letter automatically. If the appeal is upheld or partly upheld the student can ask for a Completion of Procedures Letter if they want one. Students can find more information about Completion of Procedures Letters and when they should expect to receive one at </w:t>
      </w:r>
      <w:hyperlink r:id="rId17">
        <w:r>
          <w:rPr>
            <w:u w:val="single" w:color="000000"/>
          </w:rPr>
          <w:t>https://www.oiahe.org.uk/providers/completion-of-procedures-letters</w:t>
        </w:r>
      </w:hyperlink>
      <w:hyperlink r:id="rId18">
        <w:r>
          <w:t>.</w:t>
        </w:r>
      </w:hyperlink>
      <w:r>
        <w:t xml:space="preserve"> </w:t>
      </w:r>
    </w:p>
    <w:p w14:paraId="093FD768" w14:textId="77777777" w:rsidR="004F3805" w:rsidRDefault="000F1BCA" w:rsidP="0045302C">
      <w:pPr>
        <w:spacing w:after="0" w:line="259" w:lineRule="auto"/>
        <w:ind w:left="26" w:firstLine="0"/>
        <w:jc w:val="both"/>
      </w:pPr>
      <w:r>
        <w:t xml:space="preserve"> </w:t>
      </w:r>
    </w:p>
    <w:p w14:paraId="713769B9" w14:textId="77777777" w:rsidR="004F3805" w:rsidRDefault="000F1BCA" w:rsidP="0045302C">
      <w:pPr>
        <w:ind w:left="22"/>
        <w:jc w:val="both"/>
      </w:pPr>
      <w:r>
        <w:rPr>
          <w:b/>
        </w:rPr>
        <w:t xml:space="preserve">John Moores Students’ Union </w:t>
      </w:r>
    </w:p>
    <w:p w14:paraId="75DFE034" w14:textId="77777777" w:rsidR="004F3805" w:rsidRDefault="000F1BCA" w:rsidP="0045302C">
      <w:pPr>
        <w:spacing w:after="0" w:line="259" w:lineRule="auto"/>
        <w:ind w:left="26" w:firstLine="0"/>
        <w:jc w:val="both"/>
      </w:pPr>
      <w:r>
        <w:rPr>
          <w:b/>
        </w:rPr>
        <w:t xml:space="preserve"> </w:t>
      </w:r>
    </w:p>
    <w:p w14:paraId="28A930CA" w14:textId="77777777" w:rsidR="004F3805" w:rsidRDefault="000F1BCA" w:rsidP="0045302C">
      <w:pPr>
        <w:ind w:left="21"/>
        <w:jc w:val="both"/>
      </w:pPr>
      <w:r>
        <w:t xml:space="preserve">Students can obtain professional and independent advice from a qualified adviser at Liverpool John Moores Students’ Union Advice Centre, telephone number 0151 231 4900 or email </w:t>
      </w:r>
      <w:r>
        <w:rPr>
          <w:color w:val="0563C1"/>
          <w:u w:val="single" w:color="0563C1"/>
        </w:rPr>
        <w:t>JMSUadvice@ljmu.ac.uk</w:t>
      </w:r>
      <w:r>
        <w:t xml:space="preserve">  </w:t>
      </w:r>
    </w:p>
    <w:p w14:paraId="7DC17FA2" w14:textId="77777777" w:rsidR="004F3805" w:rsidRDefault="000F1BCA" w:rsidP="0045302C">
      <w:pPr>
        <w:spacing w:after="0" w:line="259" w:lineRule="auto"/>
        <w:ind w:left="26" w:firstLine="0"/>
        <w:jc w:val="both"/>
      </w:pPr>
      <w:r>
        <w:t xml:space="preserve"> </w:t>
      </w:r>
    </w:p>
    <w:p w14:paraId="034A6A48" w14:textId="77777777" w:rsidR="004F3805" w:rsidRDefault="000F1BCA" w:rsidP="0045302C">
      <w:pPr>
        <w:ind w:left="21"/>
        <w:jc w:val="both"/>
      </w:pPr>
      <w:r>
        <w:t xml:space="preserve">Further information is available on the Liverpool John Moores Students’ Union webpages at </w:t>
      </w:r>
      <w:hyperlink r:id="rId19">
        <w:r>
          <w:rPr>
            <w:color w:val="0563C1"/>
            <w:u w:val="single" w:color="0563C1"/>
          </w:rPr>
          <w:t>https://www.jmsu.co.uk/advice</w:t>
        </w:r>
      </w:hyperlink>
      <w:hyperlink r:id="rId20">
        <w:r>
          <w:t xml:space="preserve"> </w:t>
        </w:r>
      </w:hyperlink>
      <w:r>
        <w:t xml:space="preserve"> </w:t>
      </w:r>
    </w:p>
    <w:p w14:paraId="58DC0C5E" w14:textId="77777777" w:rsidR="004F3805" w:rsidRDefault="000F1BCA" w:rsidP="0045302C">
      <w:pPr>
        <w:spacing w:after="0" w:line="259" w:lineRule="auto"/>
        <w:ind w:left="26" w:firstLine="0"/>
        <w:jc w:val="both"/>
      </w:pPr>
      <w:r>
        <w:rPr>
          <w:color w:val="1F497D"/>
        </w:rPr>
        <w:t xml:space="preserve"> </w:t>
      </w:r>
    </w:p>
    <w:p w14:paraId="0CD3658B" w14:textId="77777777" w:rsidR="004F3805" w:rsidRDefault="000F1BCA" w:rsidP="0045302C">
      <w:pPr>
        <w:ind w:left="22"/>
        <w:jc w:val="both"/>
      </w:pPr>
      <w:r>
        <w:rPr>
          <w:b/>
        </w:rPr>
        <w:t xml:space="preserve">General Data Protection Regulations 2018 </w:t>
      </w:r>
    </w:p>
    <w:p w14:paraId="24EB457D" w14:textId="77777777" w:rsidR="004F3805" w:rsidRDefault="000F1BCA" w:rsidP="0045302C">
      <w:pPr>
        <w:spacing w:after="0" w:line="259" w:lineRule="auto"/>
        <w:ind w:left="26" w:firstLine="0"/>
        <w:jc w:val="both"/>
      </w:pPr>
      <w:r>
        <w:rPr>
          <w:b/>
        </w:rPr>
        <w:t xml:space="preserve"> </w:t>
      </w:r>
    </w:p>
    <w:p w14:paraId="70D58487" w14:textId="77777777" w:rsidR="004F3805" w:rsidRDefault="000F1BCA" w:rsidP="0045302C">
      <w:pPr>
        <w:ind w:left="21"/>
        <w:jc w:val="both"/>
      </w:pPr>
      <w:r>
        <w:t>Liverpool John Moores University is registered as a Data Controller with the Office of the Information Commissioner as required under the General Data Protection Regulations 2018.  The University only processes data in accordance with the Regulations and for the purposes notified to the Information Commissioner.</w:t>
      </w:r>
      <w:r>
        <w:rPr>
          <w:b/>
        </w:rPr>
        <w:t xml:space="preserve"> </w:t>
      </w:r>
    </w:p>
    <w:p w14:paraId="4A4A311E" w14:textId="77777777" w:rsidR="004F3805" w:rsidRDefault="000F1BCA" w:rsidP="0045302C">
      <w:pPr>
        <w:spacing w:after="0" w:line="259" w:lineRule="auto"/>
        <w:ind w:left="26" w:firstLine="0"/>
        <w:jc w:val="both"/>
      </w:pPr>
      <w:r>
        <w:t xml:space="preserve">  </w:t>
      </w:r>
    </w:p>
    <w:p w14:paraId="1B4B3254" w14:textId="77777777" w:rsidR="004F3805" w:rsidRDefault="000F1BCA">
      <w:pPr>
        <w:spacing w:after="158" w:line="259" w:lineRule="auto"/>
        <w:ind w:left="26" w:firstLine="0"/>
      </w:pPr>
      <w:r>
        <w:t xml:space="preserve"> </w:t>
      </w:r>
    </w:p>
    <w:p w14:paraId="2ED67F9B" w14:textId="77777777" w:rsidR="004F3805" w:rsidRDefault="000F1BCA">
      <w:pPr>
        <w:spacing w:after="0" w:line="259" w:lineRule="auto"/>
        <w:ind w:left="26" w:firstLine="0"/>
      </w:pPr>
      <w:r>
        <w:t xml:space="preserve"> </w:t>
      </w:r>
    </w:p>
    <w:sectPr w:rsidR="004F3805">
      <w:pgSz w:w="11906" w:h="16838"/>
      <w:pgMar w:top="1486" w:right="1440" w:bottom="1485" w:left="141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D0C9D"/>
    <w:multiLevelType w:val="hybridMultilevel"/>
    <w:tmpl w:val="170A55B8"/>
    <w:lvl w:ilvl="0" w:tplc="D8FA694A">
      <w:start w:val="1"/>
      <w:numFmt w:val="lowerRoman"/>
      <w:lvlText w:val="%1."/>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B63284">
      <w:start w:val="1"/>
      <w:numFmt w:val="lowerLetter"/>
      <w:lvlText w:val="%2"/>
      <w:lvlJc w:val="left"/>
      <w:pPr>
        <w:ind w:left="1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F4B984">
      <w:start w:val="1"/>
      <w:numFmt w:val="lowerRoman"/>
      <w:lvlText w:val="%3"/>
      <w:lvlJc w:val="left"/>
      <w:pPr>
        <w:ind w:left="2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AA2122">
      <w:start w:val="1"/>
      <w:numFmt w:val="decimal"/>
      <w:lvlText w:val="%4"/>
      <w:lvlJc w:val="left"/>
      <w:pPr>
        <w:ind w:left="2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6A3530">
      <w:start w:val="1"/>
      <w:numFmt w:val="lowerLetter"/>
      <w:lvlText w:val="%5"/>
      <w:lvlJc w:val="left"/>
      <w:pPr>
        <w:ind w:left="3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DC0BC0">
      <w:start w:val="1"/>
      <w:numFmt w:val="lowerRoman"/>
      <w:lvlText w:val="%6"/>
      <w:lvlJc w:val="left"/>
      <w:pPr>
        <w:ind w:left="4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503F6E">
      <w:start w:val="1"/>
      <w:numFmt w:val="decimal"/>
      <w:lvlText w:val="%7"/>
      <w:lvlJc w:val="left"/>
      <w:pPr>
        <w:ind w:left="4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3AEF30">
      <w:start w:val="1"/>
      <w:numFmt w:val="lowerLetter"/>
      <w:lvlText w:val="%8"/>
      <w:lvlJc w:val="left"/>
      <w:pPr>
        <w:ind w:left="5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D05A80">
      <w:start w:val="1"/>
      <w:numFmt w:val="lowerRoman"/>
      <w:lvlText w:val="%9"/>
      <w:lvlJc w:val="left"/>
      <w:pPr>
        <w:ind w:left="6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79F2932"/>
    <w:multiLevelType w:val="hybridMultilevel"/>
    <w:tmpl w:val="480C6926"/>
    <w:lvl w:ilvl="0" w:tplc="702CAD86">
      <w:start w:val="1"/>
      <w:numFmt w:val="bullet"/>
      <w:lvlText w:val="•"/>
      <w:lvlJc w:val="left"/>
      <w:pPr>
        <w:ind w:left="9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1627D2">
      <w:start w:val="1"/>
      <w:numFmt w:val="bullet"/>
      <w:lvlText w:val="o"/>
      <w:lvlJc w:val="left"/>
      <w:pPr>
        <w:ind w:left="16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44A73A">
      <w:start w:val="1"/>
      <w:numFmt w:val="bullet"/>
      <w:lvlText w:val="▪"/>
      <w:lvlJc w:val="left"/>
      <w:pPr>
        <w:ind w:left="23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F237F4">
      <w:start w:val="1"/>
      <w:numFmt w:val="bullet"/>
      <w:lvlText w:val="•"/>
      <w:lvlJc w:val="left"/>
      <w:pPr>
        <w:ind w:left="30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142062">
      <w:start w:val="1"/>
      <w:numFmt w:val="bullet"/>
      <w:lvlText w:val="o"/>
      <w:lvlJc w:val="left"/>
      <w:pPr>
        <w:ind w:left="37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7EF2D8">
      <w:start w:val="1"/>
      <w:numFmt w:val="bullet"/>
      <w:lvlText w:val="▪"/>
      <w:lvlJc w:val="left"/>
      <w:pPr>
        <w:ind w:left="45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92702C">
      <w:start w:val="1"/>
      <w:numFmt w:val="bullet"/>
      <w:lvlText w:val="•"/>
      <w:lvlJc w:val="left"/>
      <w:pPr>
        <w:ind w:left="52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A071B2">
      <w:start w:val="1"/>
      <w:numFmt w:val="bullet"/>
      <w:lvlText w:val="o"/>
      <w:lvlJc w:val="left"/>
      <w:pPr>
        <w:ind w:left="59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0877AA">
      <w:start w:val="1"/>
      <w:numFmt w:val="bullet"/>
      <w:lvlText w:val="▪"/>
      <w:lvlJc w:val="left"/>
      <w:pPr>
        <w:ind w:left="66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325620650">
    <w:abstractNumId w:val="1"/>
  </w:num>
  <w:num w:numId="2" w16cid:durableId="722367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805"/>
    <w:rsid w:val="000E4400"/>
    <w:rsid w:val="000F1BCA"/>
    <w:rsid w:val="00146668"/>
    <w:rsid w:val="003F6DF9"/>
    <w:rsid w:val="0045302C"/>
    <w:rsid w:val="004F3805"/>
    <w:rsid w:val="005318FB"/>
    <w:rsid w:val="00A54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261A6"/>
  <w15:docId w15:val="{34A4FEEA-EFAF-D44F-8383-0DB6174C4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6" w:hanging="10"/>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3F6DF9"/>
    <w:rPr>
      <w:sz w:val="16"/>
      <w:szCs w:val="16"/>
    </w:rPr>
  </w:style>
  <w:style w:type="paragraph" w:styleId="CommentText">
    <w:name w:val="annotation text"/>
    <w:basedOn w:val="Normal"/>
    <w:link w:val="CommentTextChar"/>
    <w:uiPriority w:val="99"/>
    <w:unhideWhenUsed/>
    <w:rsid w:val="003F6DF9"/>
    <w:pPr>
      <w:spacing w:line="240" w:lineRule="auto"/>
    </w:pPr>
    <w:rPr>
      <w:sz w:val="20"/>
      <w:szCs w:val="20"/>
    </w:rPr>
  </w:style>
  <w:style w:type="character" w:customStyle="1" w:styleId="CommentTextChar">
    <w:name w:val="Comment Text Char"/>
    <w:basedOn w:val="DefaultParagraphFont"/>
    <w:link w:val="CommentText"/>
    <w:uiPriority w:val="99"/>
    <w:rsid w:val="003F6DF9"/>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3F6DF9"/>
    <w:rPr>
      <w:b/>
      <w:bCs/>
    </w:rPr>
  </w:style>
  <w:style w:type="character" w:customStyle="1" w:styleId="CommentSubjectChar">
    <w:name w:val="Comment Subject Char"/>
    <w:basedOn w:val="CommentTextChar"/>
    <w:link w:val="CommentSubject"/>
    <w:uiPriority w:val="99"/>
    <w:semiHidden/>
    <w:rsid w:val="003F6DF9"/>
    <w:rPr>
      <w:rFonts w:ascii="Arial" w:eastAsia="Arial" w:hAnsi="Arial" w:cs="Arial"/>
      <w:b/>
      <w:bCs/>
      <w:color w:val="000000"/>
      <w:sz w:val="20"/>
      <w:szCs w:val="20"/>
    </w:rPr>
  </w:style>
  <w:style w:type="character" w:styleId="Hyperlink">
    <w:name w:val="Hyperlink"/>
    <w:basedOn w:val="DefaultParagraphFont"/>
    <w:uiPriority w:val="99"/>
    <w:unhideWhenUsed/>
    <w:rsid w:val="003F6DF9"/>
    <w:rPr>
      <w:color w:val="0563C1" w:themeColor="hyperlink"/>
      <w:u w:val="single"/>
    </w:rPr>
  </w:style>
  <w:style w:type="character" w:styleId="UnresolvedMention">
    <w:name w:val="Unresolved Mention"/>
    <w:basedOn w:val="DefaultParagraphFont"/>
    <w:uiPriority w:val="99"/>
    <w:semiHidden/>
    <w:unhideWhenUsed/>
    <w:rsid w:val="003F6D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ljmu.ac.uk/legal/privacy-and-cookies/external-stakeholders-privacy-policy/student-governance-privacy-notice" TargetMode="External"/><Relationship Id="rId18" Type="http://schemas.openxmlformats.org/officeDocument/2006/relationships/hyperlink" Target="https://www.oiahe.org.uk/providers/completion-of-procedures-letter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ljmu.ac.uk/legal/privacy-and-cookies/external-stakeholders-privacy-policy/student-governance-privacy-notice" TargetMode="External"/><Relationship Id="rId17" Type="http://schemas.openxmlformats.org/officeDocument/2006/relationships/hyperlink" Target="https://www.oiahe.org.uk/providers/completion-of-procedures-letters/" TargetMode="External"/><Relationship Id="rId2" Type="http://schemas.openxmlformats.org/officeDocument/2006/relationships/customXml" Target="../customXml/item2.xml"/><Relationship Id="rId16" Type="http://schemas.openxmlformats.org/officeDocument/2006/relationships/hyperlink" Target="https://www.oiahe.org.uk/students/" TargetMode="External"/><Relationship Id="rId20" Type="http://schemas.openxmlformats.org/officeDocument/2006/relationships/hyperlink" Target="https://www.jmsu.co.uk/advi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jmu.ac.uk/legal/privacy-and-cookies/external-stakeholders-privacy-policy/student-governance-privacy-notice" TargetMode="External"/><Relationship Id="rId5" Type="http://schemas.openxmlformats.org/officeDocument/2006/relationships/styles" Target="styles.xml"/><Relationship Id="rId15" Type="http://schemas.openxmlformats.org/officeDocument/2006/relationships/hyperlink" Target="https://www.oiahe.org.uk/students/" TargetMode="External"/><Relationship Id="rId10" Type="http://schemas.openxmlformats.org/officeDocument/2006/relationships/hyperlink" Target="https://myservices.ljmu.ac.uk/" TargetMode="External"/><Relationship Id="rId19" Type="http://schemas.openxmlformats.org/officeDocument/2006/relationships/hyperlink" Target="https://www.jmsu.co.uk/advice" TargetMode="External"/><Relationship Id="rId4" Type="http://schemas.openxmlformats.org/officeDocument/2006/relationships/numbering" Target="numbering.xml"/><Relationship Id="rId9" Type="http://schemas.openxmlformats.org/officeDocument/2006/relationships/hyperlink" Target="https://myservices.ljmu.ac.uk/" TargetMode="External"/><Relationship Id="rId14" Type="http://schemas.openxmlformats.org/officeDocument/2006/relationships/hyperlink" Target="https://www.ljmu.ac.uk/legal/privacy-and-cookies/external-stakeholders-privacy-policy/student-governance-privacy-notic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967DD729D2E645BAFB699E1E377EFD" ma:contentTypeVersion="1" ma:contentTypeDescription="Create a new document." ma:contentTypeScope="" ma:versionID="f40af82a097e24ff35274053ce6aa102">
  <xsd:schema xmlns:xsd="http://www.w3.org/2001/XMLSchema" xmlns:xs="http://www.w3.org/2001/XMLSchema" xmlns:p="http://schemas.microsoft.com/office/2006/metadata/properties" xmlns:ns2="470e0bb2-3e9a-4294-a456-447c65b2c2bc" targetNamespace="http://schemas.microsoft.com/office/2006/metadata/properties" ma:root="true" ma:fieldsID="a01285f8625fd1603d826f2d72756450" ns2:_="">
    <xsd:import namespace="470e0bb2-3e9a-4294-a456-447c65b2c2b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e0bb2-3e9a-4294-a456-447c65b2c2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E7B44-AB1E-4B5D-B062-7F96F52EE56E}">
  <ds:schemaRefs>
    <ds:schemaRef ds:uri="http://schemas.microsoft.com/sharepoint/v3/contenttype/forms"/>
  </ds:schemaRefs>
</ds:datastoreItem>
</file>

<file path=customXml/itemProps2.xml><?xml version="1.0" encoding="utf-8"?>
<ds:datastoreItem xmlns:ds="http://schemas.openxmlformats.org/officeDocument/2006/customXml" ds:itemID="{F1FF31E5-A731-48A7-A139-4F62583810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B20E4A-28A9-4F54-AC7B-6948AA465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e0bb2-3e9a-4294-a456-447c65b2c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910</Words>
  <Characters>5190</Characters>
  <Application>Microsoft Office Word</Application>
  <DocSecurity>0</DocSecurity>
  <Lines>43</Lines>
  <Paragraphs>12</Paragraphs>
  <ScaleCrop>false</ScaleCrop>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Clifford, Elizabeth</dc:creator>
  <cp:keywords/>
  <cp:lastModifiedBy>Borthwick, Stuart</cp:lastModifiedBy>
  <cp:revision>8</cp:revision>
  <dcterms:created xsi:type="dcterms:W3CDTF">2023-10-10T14:59:00Z</dcterms:created>
  <dcterms:modified xsi:type="dcterms:W3CDTF">2024-07-16T09:18:00Z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0x01010099967DD729D2E645BAFB699E1E377EFD</vt:lpwstr>
  </property>
</Properties>
</file>